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atLeast"/>
        <w:ind w:left="504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文件编号：</w:t>
      </w:r>
      <w:r>
        <w:rPr>
          <w:rFonts w:ascii="宋体" w:hAnsi="宋体"/>
          <w:color w:val="000000" w:themeColor="text1"/>
          <w:sz w:val="24"/>
          <w14:textFill>
            <w14:solidFill>
              <w14:schemeClr w14:val="tx1"/>
            </w14:solidFill>
          </w14:textFill>
        </w:rPr>
        <w:t>VCS-Q</w:t>
      </w:r>
      <w:r>
        <w:rPr>
          <w:rFonts w:hint="eastAsia" w:ascii="宋体" w:hAnsi="宋体"/>
          <w:color w:val="000000" w:themeColor="text1"/>
          <w:sz w:val="24"/>
          <w14:textFill>
            <w14:solidFill>
              <w14:schemeClr w14:val="tx1"/>
            </w14:solidFill>
          </w14:textFill>
        </w:rPr>
        <w:t>P</w:t>
      </w:r>
      <w:r>
        <w:rPr>
          <w:rFonts w:ascii="宋体" w:hAnsi="宋体"/>
          <w:color w:val="000000" w:themeColor="text1"/>
          <w:sz w:val="24"/>
          <w14:textFill>
            <w14:solidFill>
              <w14:schemeClr w14:val="tx1"/>
            </w14:solidFill>
          </w14:textFill>
        </w:rPr>
        <w:t>-G</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-2014</w:t>
      </w:r>
    </w:p>
    <w:p>
      <w:pPr>
        <w:spacing w:line="160" w:lineRule="atLeast"/>
        <w:jc w:val="center"/>
        <w:rPr>
          <w:rFonts w:ascii="宋体" w:hAnsi="宋体"/>
          <w:color w:val="000000" w:themeColor="text1"/>
          <w:sz w:val="36"/>
          <w14:textFill>
            <w14:solidFill>
              <w14:schemeClr w14:val="tx1"/>
            </w14:solidFill>
          </w14:textFill>
        </w:rPr>
      </w:pPr>
    </w:p>
    <w:p>
      <w:pPr>
        <w:spacing w:line="160" w:lineRule="atLeast"/>
        <w:jc w:val="center"/>
        <w:rPr>
          <w:rFonts w:ascii="宋体" w:hAnsi="宋体"/>
          <w:color w:val="000000" w:themeColor="text1"/>
          <w:sz w:val="36"/>
          <w14:textFill>
            <w14:solidFill>
              <w14:schemeClr w14:val="tx1"/>
            </w14:solidFill>
          </w14:textFill>
        </w:rPr>
      </w:pPr>
    </w:p>
    <w:p>
      <w:pPr>
        <w:spacing w:line="160" w:lineRule="atLeast"/>
        <w:jc w:val="center"/>
        <w:rPr>
          <w:color w:val="000000" w:themeColor="text1"/>
          <w14:textFill>
            <w14:solidFill>
              <w14:schemeClr w14:val="tx1"/>
            </w14:solidFill>
          </w14:textFill>
        </w:rPr>
      </w:pPr>
      <w:r>
        <w:rPr>
          <w:rFonts w:ascii="Tahoma" w:hAnsi="Tahoma" w:cs="Tahoma"/>
          <w:color w:val="000000" w:themeColor="text1"/>
          <w:sz w:val="24"/>
          <w14:textFill>
            <w14:solidFill>
              <w14:schemeClr w14:val="tx1"/>
            </w14:solidFill>
          </w14:textFill>
        </w:rPr>
        <w:drawing>
          <wp:inline distT="0" distB="0" distL="0" distR="0">
            <wp:extent cx="1727200" cy="1625600"/>
            <wp:effectExtent l="19050" t="0" r="6350" b="0"/>
            <wp:docPr id="6" name="图片 6" descr="VSKY认证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VSKY认证标志"/>
                    <pic:cNvPicPr>
                      <a:picLocks noChangeAspect="1" noChangeArrowheads="1"/>
                    </pic:cNvPicPr>
                  </pic:nvPicPr>
                  <pic:blipFill>
                    <a:blip r:embed="rId7" cstate="print"/>
                    <a:srcRect/>
                    <a:stretch>
                      <a:fillRect/>
                    </a:stretch>
                  </pic:blipFill>
                  <pic:spPr>
                    <a:xfrm>
                      <a:off x="0" y="0"/>
                      <a:ext cx="1727200" cy="1625600"/>
                    </a:xfrm>
                    <a:prstGeom prst="rect">
                      <a:avLst/>
                    </a:prstGeom>
                    <a:noFill/>
                    <a:ln w="9525">
                      <a:noFill/>
                      <a:miter lim="800000"/>
                      <a:headEnd/>
                      <a:tailEnd/>
                    </a:ln>
                  </pic:spPr>
                </pic:pic>
              </a:graphicData>
            </a:graphic>
          </wp:inline>
        </w:drawing>
      </w:r>
    </w:p>
    <w:p>
      <w:pPr>
        <w:spacing w:line="160" w:lineRule="atLeast"/>
        <w:jc w:val="center"/>
        <w:rPr>
          <w:rFonts w:ascii="宋体" w:hAnsi="宋体"/>
          <w:color w:val="000000" w:themeColor="text1"/>
          <w:sz w:val="24"/>
          <w14:textFill>
            <w14:solidFill>
              <w14:schemeClr w14:val="tx1"/>
            </w14:solidFill>
          </w14:textFill>
        </w:rPr>
      </w:pPr>
    </w:p>
    <w:p>
      <w:pPr>
        <w:spacing w:line="160" w:lineRule="atLeast"/>
        <w:jc w:val="center"/>
        <w:rPr>
          <w:rFonts w:ascii="Tahoma" w:hAnsi="Tahoma" w:eastAsia="隶书" w:cs="Tahoma"/>
          <w:b/>
          <w:bCs/>
          <w:color w:val="000000" w:themeColor="text1"/>
          <w:sz w:val="72"/>
          <w14:textFill>
            <w14:solidFill>
              <w14:schemeClr w14:val="tx1"/>
            </w14:solidFill>
          </w14:textFill>
        </w:rPr>
      </w:pPr>
      <w:r>
        <w:rPr>
          <w:rFonts w:ascii="Tahoma" w:hAnsi="Tahoma" w:eastAsia="隶书" w:cs="Tahoma"/>
          <w:b/>
          <w:bCs/>
          <w:color w:val="000000" w:themeColor="text1"/>
          <w:sz w:val="72"/>
          <w14:textFill>
            <w14:solidFill>
              <w14:schemeClr w14:val="tx1"/>
            </w14:solidFill>
          </w14:textFill>
        </w:rPr>
        <w:t>深圳维天认证中心</w:t>
      </w:r>
    </w:p>
    <w:p>
      <w:pPr>
        <w:pStyle w:val="2"/>
        <w:rPr>
          <w:rFonts w:ascii="Times New Roman"/>
          <w:b/>
          <w:bCs/>
          <w:color w:val="000000" w:themeColor="text1"/>
          <w:sz w:val="44"/>
          <w:szCs w:val="44"/>
          <w14:textFill>
            <w14:solidFill>
              <w14:schemeClr w14:val="tx1"/>
            </w14:solidFill>
          </w14:textFill>
        </w:rPr>
      </w:pPr>
      <w:r>
        <w:rPr>
          <w:rFonts w:ascii="Times New Roman"/>
          <w:b/>
          <w:color w:val="000000" w:themeColor="text1"/>
          <w:sz w:val="44"/>
          <w:szCs w:val="44"/>
          <w14:textFill>
            <w14:solidFill>
              <w14:schemeClr w14:val="tx1"/>
            </w14:solidFill>
          </w14:textFill>
        </w:rPr>
        <w:t>Vsky Certification Services (Shenzhen)</w:t>
      </w:r>
    </w:p>
    <w:p>
      <w:pPr>
        <w:spacing w:line="160" w:lineRule="atLeast"/>
        <w:rPr>
          <w:rFonts w:ascii="宋体" w:hAnsi="宋体"/>
          <w:color w:val="000000" w:themeColor="text1"/>
          <w:sz w:val="48"/>
          <w14:textFill>
            <w14:solidFill>
              <w14:schemeClr w14:val="tx1"/>
            </w14:solidFill>
          </w14:textFill>
        </w:rPr>
      </w:pPr>
    </w:p>
    <w:p>
      <w:pPr>
        <w:pStyle w:val="3"/>
        <w:rPr>
          <w:rFonts w:ascii="宋体" w:hAnsi="宋体" w:eastAsia="宋体"/>
          <w:color w:val="000000" w:themeColor="text1"/>
          <w:sz w:val="48"/>
          <w14:textFill>
            <w14:solidFill>
              <w14:schemeClr w14:val="tx1"/>
            </w14:solidFill>
          </w14:textFill>
        </w:rPr>
      </w:pPr>
      <w:r>
        <w:rPr>
          <w:rFonts w:hint="eastAsia" w:ascii="宋体" w:hAnsi="宋体" w:eastAsia="宋体"/>
          <w:color w:val="000000" w:themeColor="text1"/>
          <w:sz w:val="48"/>
          <w14:textFill>
            <w14:solidFill>
              <w14:schemeClr w14:val="tx1"/>
            </w14:solidFill>
          </w14:textFill>
        </w:rPr>
        <w:t>投诉、申诉和争议处理程序</w:t>
      </w:r>
    </w:p>
    <w:p>
      <w:pPr>
        <w:rPr>
          <w:color w:val="000000" w:themeColor="text1"/>
          <w:sz w:val="48"/>
          <w14:textFill>
            <w14:solidFill>
              <w14:schemeClr w14:val="tx1"/>
            </w14:solidFill>
          </w14:textFill>
        </w:rPr>
      </w:pPr>
    </w:p>
    <w:p>
      <w:pPr>
        <w:spacing w:line="160" w:lineRule="atLeast"/>
        <w:rPr>
          <w:rFonts w:ascii="宋体" w:hAnsi="宋体"/>
          <w:color w:val="000000" w:themeColor="text1"/>
          <w:sz w:val="48"/>
          <w14:textFill>
            <w14:solidFill>
              <w14:schemeClr w14:val="tx1"/>
            </w14:solidFill>
          </w14:textFill>
        </w:rPr>
      </w:pPr>
    </w:p>
    <w:p>
      <w:pPr>
        <w:spacing w:line="160" w:lineRule="atLeast"/>
        <w:rPr>
          <w:rFonts w:ascii="宋体" w:hAnsi="宋体"/>
          <w:color w:val="000000" w:themeColor="text1"/>
          <w:sz w:val="48"/>
          <w14:textFill>
            <w14:solidFill>
              <w14:schemeClr w14:val="tx1"/>
            </w14:solidFill>
          </w14:textFill>
        </w:rPr>
      </w:pPr>
    </w:p>
    <w:p>
      <w:pPr>
        <w:spacing w:line="160" w:lineRule="atLeas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-36195</wp:posOffset>
                </wp:positionV>
                <wp:extent cx="2520315" cy="828675"/>
                <wp:effectExtent l="4445" t="4445" r="5080" b="5080"/>
                <wp:wrapNone/>
                <wp:docPr id="1" name="文本框 4"/>
                <wp:cNvGraphicFramePr/>
                <a:graphic xmlns:a="http://schemas.openxmlformats.org/drawingml/2006/main">
                  <a:graphicData uri="http://schemas.microsoft.com/office/word/2010/wordprocessingShape">
                    <wps:wsp>
                      <wps:cNvSpPr txBox="1"/>
                      <wps:spPr>
                        <a:xfrm>
                          <a:off x="0" y="0"/>
                          <a:ext cx="2520315" cy="828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spacing w:line="0" w:lineRule="atLeast"/>
                              <w:jc w:val="left"/>
                              <w:rPr>
                                <w:rFonts w:eastAsia="楷体_GB2312"/>
                                <w:szCs w:val="18"/>
                              </w:rPr>
                            </w:pPr>
                            <w:r>
                              <w:rPr>
                                <w:rFonts w:hint="eastAsia" w:eastAsia="楷体_GB2312"/>
                                <w:sz w:val="18"/>
                                <w:szCs w:val="18"/>
                              </w:rPr>
                              <w:t>本资料版权为深圳维天认证中心所有，且受版权法和国际公约保护。如未获得本中心许可，任何单位和个人不得以任何形式或任何方法复制本资料及其任何部分用于任何目的。深圳维天认证中心保留依法追究侵权责任的权利。</w:t>
                            </w:r>
                          </w:p>
                        </w:txbxContent>
                      </wps:txbx>
                      <wps:bodyPr upright="1"/>
                    </wps:wsp>
                  </a:graphicData>
                </a:graphic>
              </wp:anchor>
            </w:drawing>
          </mc:Choice>
          <mc:Fallback>
            <w:pict>
              <v:shape id="文本框 4" o:spid="_x0000_s1026" o:spt="202" type="#_x0000_t202" style="position:absolute;left:0pt;margin-left:102.75pt;margin-top:-2.85pt;height:65.25pt;width:198.45pt;z-index:251659264;mso-width-relative:page;mso-height-relative:page;" fillcolor="#FFFFFF" filled="t" stroked="t" coordsize="21600,21600" o:gfxdata="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oomktkAAAAKAQAADwAAAAAAAAABACAAAAAi&#10;AAAAZHJzL2Rvd25yZXYueG1sUEsBAhQAFAAAAAgAh07iQK7mTwoJAgAANgQAAA4AAAAAAAAAAQAg&#10;AAAAKAEAAGRycy9lMm9Eb2MueG1sUEsFBgAAAAAGAAYAWQEAAKMFAAAAAA==&#10;">
                <v:fill on="t" focussize="0,0"/>
                <v:stroke color="#000000" joinstyle="miter"/>
                <v:imagedata o:title=""/>
                <o:lock v:ext="edit" aspectratio="f"/>
                <v:textbox>
                  <w:txbxContent>
                    <w:p>
                      <w:pPr>
                        <w:pStyle w:val="8"/>
                        <w:spacing w:line="0" w:lineRule="atLeast"/>
                        <w:jc w:val="left"/>
                        <w:rPr>
                          <w:rFonts w:eastAsia="楷体_GB2312"/>
                          <w:szCs w:val="18"/>
                        </w:rPr>
                      </w:pPr>
                      <w:r>
                        <w:rPr>
                          <w:rFonts w:hint="eastAsia" w:eastAsia="楷体_GB2312"/>
                          <w:sz w:val="18"/>
                          <w:szCs w:val="18"/>
                        </w:rPr>
                        <w:t>本资料版权为深圳维天认证中心所有，且受版权法和国际公约保护。如未获得本中心许可，任何单位和个人不得以任何形式或任何方法复制本资料及其任何部分用于任何目的。深圳维天认证中心保留依法追究侵权责任的权利。</w:t>
                      </w:r>
                    </w:p>
                  </w:txbxContent>
                </v:textbox>
              </v:shape>
            </w:pict>
          </mc:Fallback>
        </mc:AlternateContent>
      </w:r>
    </w:p>
    <w:p>
      <w:pPr>
        <w:spacing w:line="160" w:lineRule="atLeast"/>
        <w:jc w:val="center"/>
        <w:rPr>
          <w:rFonts w:ascii="宋体" w:hAnsi="宋体"/>
          <w:color w:val="000000" w:themeColor="text1"/>
          <w:sz w:val="24"/>
          <w14:textFill>
            <w14:solidFill>
              <w14:schemeClr w14:val="tx1"/>
            </w14:solidFill>
          </w14:textFill>
        </w:rPr>
      </w:pPr>
    </w:p>
    <w:p>
      <w:pPr>
        <w:spacing w:line="160" w:lineRule="atLeast"/>
        <w:rPr>
          <w:rFonts w:ascii="宋体" w:hAnsi="宋体"/>
          <w:color w:val="000000" w:themeColor="text1"/>
          <w:sz w:val="24"/>
          <w14:textFill>
            <w14:solidFill>
              <w14:schemeClr w14:val="tx1"/>
            </w14:solidFill>
          </w14:textFill>
        </w:rPr>
      </w:pPr>
    </w:p>
    <w:p>
      <w:pPr>
        <w:spacing w:line="160" w:lineRule="atLeast"/>
        <w:ind w:firstLine="2880" w:firstLineChars="1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pPr>
        <w:rPr>
          <w:rFonts w:ascii="宋体" w:hAnsi="宋体"/>
          <w:color w:val="000000" w:themeColor="text1"/>
          <w:sz w:val="24"/>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编制审核批准记录</w:t>
      </w:r>
    </w:p>
    <w:tbl>
      <w:tblPr>
        <w:tblStyle w:val="15"/>
        <w:tblW w:w="4675"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42"/>
        <w:gridCol w:w="1842"/>
        <w:gridCol w:w="1843"/>
        <w:gridCol w:w="1843"/>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60" w:hRule="exact"/>
        </w:trPr>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修改次数</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编  写</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审  核</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批  准</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批准日期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0</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鲁楠</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魏晓梅</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姜秋红</w:t>
            </w: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2014-11-15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c>
          <w:tcPr>
            <w:tcW w:w="100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p>
        </w:tc>
      </w:tr>
    </w:tbl>
    <w:p>
      <w:pPr>
        <w:rPr>
          <w:rFonts w:ascii="仿宋_GB2312" w:eastAsia="仿宋_GB2312"/>
          <w:color w:val="000000" w:themeColor="text1"/>
          <w:sz w:val="24"/>
          <w14:textFill>
            <w14:solidFill>
              <w14:schemeClr w14:val="tx1"/>
            </w14:solidFill>
          </w14:textFill>
        </w:rPr>
      </w:pP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修改记录</w:t>
      </w:r>
    </w:p>
    <w:tbl>
      <w:tblPr>
        <w:tblStyle w:val="15"/>
        <w:tblW w:w="4675"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1669"/>
        <w:gridCol w:w="2935"/>
        <w:gridCol w:w="31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77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right="-42" w:rightChars="-2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修改次数</w:t>
            </w:r>
          </w:p>
        </w:tc>
        <w:tc>
          <w:tcPr>
            <w:tcW w:w="906"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生效日期</w:t>
            </w:r>
          </w:p>
        </w:tc>
        <w:tc>
          <w:tcPr>
            <w:tcW w:w="1593"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修改页次</w:t>
            </w:r>
          </w:p>
        </w:tc>
        <w:tc>
          <w:tcPr>
            <w:tcW w:w="1731"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修 改 理 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770" w:type="pct"/>
            <w:tcBorders>
              <w:top w:val="single" w:color="auto" w:sz="6" w:space="0"/>
              <w:left w:val="single" w:color="auto" w:sz="6" w:space="0"/>
              <w:bottom w:val="single" w:color="auto" w:sz="6" w:space="0"/>
              <w:right w:val="single" w:color="auto" w:sz="6" w:space="0"/>
            </w:tcBorders>
            <w:vAlign w:val="center"/>
          </w:tcPr>
          <w:p>
            <w:pPr>
              <w:tabs>
                <w:tab w:val="left" w:pos="180"/>
              </w:tabs>
              <w:ind w:left="-145" w:leftChars="-69"/>
              <w:jc w:val="center"/>
              <w:rPr>
                <w:rFonts w:ascii="仿宋_GB2312" w:eastAsia="仿宋_GB2312"/>
                <w:color w:val="000000" w:themeColor="text1"/>
                <w:sz w:val="24"/>
                <w14:textFill>
                  <w14:solidFill>
                    <w14:schemeClr w14:val="tx1"/>
                  </w14:solidFill>
                </w14:textFill>
              </w:rPr>
            </w:pPr>
          </w:p>
        </w:tc>
        <w:tc>
          <w:tcPr>
            <w:tcW w:w="906"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593"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731" w:type="pct"/>
            <w:tcBorders>
              <w:top w:val="single" w:color="auto" w:sz="6" w:space="0"/>
              <w:left w:val="single" w:color="auto" w:sz="6" w:space="0"/>
              <w:bottom w:val="single" w:color="auto" w:sz="6" w:space="0"/>
              <w:right w:val="single" w:color="auto" w:sz="6" w:space="0"/>
            </w:tcBorders>
            <w:vAlign w:val="center"/>
          </w:tcPr>
          <w:p>
            <w:pPr>
              <w:tabs>
                <w:tab w:val="left" w:pos="180"/>
              </w:tabs>
              <w:ind w:left="-141" w:leftChars="-68" w:hanging="2" w:hangingChars="1"/>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770" w:type="pct"/>
            <w:tcBorders>
              <w:top w:val="single" w:color="auto" w:sz="6" w:space="0"/>
              <w:left w:val="single" w:color="auto" w:sz="6" w:space="0"/>
              <w:bottom w:val="single" w:color="auto" w:sz="6" w:space="0"/>
              <w:right w:val="single" w:color="auto" w:sz="6" w:space="0"/>
            </w:tcBorders>
            <w:vAlign w:val="center"/>
          </w:tcPr>
          <w:p>
            <w:pPr>
              <w:tabs>
                <w:tab w:val="left" w:pos="180"/>
              </w:tabs>
              <w:ind w:left="-348"/>
              <w:jc w:val="center"/>
              <w:rPr>
                <w:rFonts w:ascii="仿宋_GB2312" w:eastAsia="仿宋_GB2312"/>
                <w:color w:val="000000" w:themeColor="text1"/>
                <w:sz w:val="24"/>
                <w14:textFill>
                  <w14:solidFill>
                    <w14:schemeClr w14:val="tx1"/>
                  </w14:solidFill>
                </w14:textFill>
              </w:rPr>
            </w:pPr>
          </w:p>
        </w:tc>
        <w:tc>
          <w:tcPr>
            <w:tcW w:w="906"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593"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731"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770" w:type="pct"/>
            <w:tcBorders>
              <w:top w:val="single" w:color="auto" w:sz="6" w:space="0"/>
              <w:left w:val="single" w:color="auto" w:sz="6" w:space="0"/>
              <w:bottom w:val="single" w:color="auto" w:sz="6" w:space="0"/>
              <w:right w:val="single" w:color="auto" w:sz="6" w:space="0"/>
            </w:tcBorders>
            <w:vAlign w:val="center"/>
          </w:tcPr>
          <w:p>
            <w:pPr>
              <w:tabs>
                <w:tab w:val="left" w:pos="180"/>
              </w:tabs>
              <w:ind w:left="-348"/>
              <w:jc w:val="center"/>
              <w:rPr>
                <w:rFonts w:ascii="仿宋_GB2312" w:eastAsia="仿宋_GB2312"/>
                <w:color w:val="000000" w:themeColor="text1"/>
                <w:sz w:val="24"/>
                <w14:textFill>
                  <w14:solidFill>
                    <w14:schemeClr w14:val="tx1"/>
                  </w14:solidFill>
                </w14:textFill>
              </w:rPr>
            </w:pPr>
          </w:p>
        </w:tc>
        <w:tc>
          <w:tcPr>
            <w:tcW w:w="906"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593"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731"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770" w:type="pct"/>
            <w:tcBorders>
              <w:top w:val="single" w:color="auto" w:sz="6" w:space="0"/>
              <w:left w:val="single" w:color="auto" w:sz="6" w:space="0"/>
              <w:bottom w:val="single" w:color="auto" w:sz="6" w:space="0"/>
              <w:right w:val="single" w:color="auto" w:sz="6" w:space="0"/>
            </w:tcBorders>
            <w:vAlign w:val="center"/>
          </w:tcPr>
          <w:p>
            <w:pPr>
              <w:tabs>
                <w:tab w:val="left" w:pos="180"/>
              </w:tabs>
              <w:ind w:left="-348"/>
              <w:jc w:val="center"/>
              <w:rPr>
                <w:rFonts w:ascii="仿宋_GB2312" w:eastAsia="仿宋_GB2312"/>
                <w:color w:val="000000" w:themeColor="text1"/>
                <w:sz w:val="24"/>
                <w14:textFill>
                  <w14:solidFill>
                    <w14:schemeClr w14:val="tx1"/>
                  </w14:solidFill>
                </w14:textFill>
              </w:rPr>
            </w:pPr>
          </w:p>
        </w:tc>
        <w:tc>
          <w:tcPr>
            <w:tcW w:w="906"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593"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731"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770" w:type="pct"/>
            <w:tcBorders>
              <w:top w:val="single" w:color="auto" w:sz="6" w:space="0"/>
              <w:left w:val="single" w:color="auto" w:sz="6" w:space="0"/>
              <w:bottom w:val="single" w:color="auto" w:sz="6" w:space="0"/>
              <w:right w:val="single" w:color="auto" w:sz="6" w:space="0"/>
            </w:tcBorders>
            <w:vAlign w:val="center"/>
          </w:tcPr>
          <w:p>
            <w:pPr>
              <w:tabs>
                <w:tab w:val="left" w:pos="180"/>
              </w:tabs>
              <w:ind w:left="-348"/>
              <w:jc w:val="center"/>
              <w:rPr>
                <w:rFonts w:ascii="仿宋_GB2312" w:eastAsia="仿宋_GB2312"/>
                <w:color w:val="000000" w:themeColor="text1"/>
                <w:sz w:val="24"/>
                <w14:textFill>
                  <w14:solidFill>
                    <w14:schemeClr w14:val="tx1"/>
                  </w14:solidFill>
                </w14:textFill>
              </w:rPr>
            </w:pPr>
          </w:p>
        </w:tc>
        <w:tc>
          <w:tcPr>
            <w:tcW w:w="906"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593"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731"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770" w:type="pct"/>
            <w:tcBorders>
              <w:top w:val="single" w:color="auto" w:sz="6" w:space="0"/>
              <w:left w:val="single" w:color="auto" w:sz="6" w:space="0"/>
              <w:bottom w:val="single" w:color="auto" w:sz="6" w:space="0"/>
              <w:right w:val="single" w:color="auto" w:sz="6" w:space="0"/>
            </w:tcBorders>
            <w:vAlign w:val="center"/>
          </w:tcPr>
          <w:p>
            <w:pPr>
              <w:tabs>
                <w:tab w:val="left" w:pos="180"/>
              </w:tabs>
              <w:ind w:left="-348"/>
              <w:jc w:val="center"/>
              <w:rPr>
                <w:rFonts w:ascii="仿宋_GB2312" w:eastAsia="仿宋_GB2312"/>
                <w:color w:val="000000" w:themeColor="text1"/>
                <w:sz w:val="24"/>
                <w14:textFill>
                  <w14:solidFill>
                    <w14:schemeClr w14:val="tx1"/>
                  </w14:solidFill>
                </w14:textFill>
              </w:rPr>
            </w:pPr>
          </w:p>
        </w:tc>
        <w:tc>
          <w:tcPr>
            <w:tcW w:w="906"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593"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c>
          <w:tcPr>
            <w:tcW w:w="1731" w:type="pct"/>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_GB2312" w:eastAsia="仿宋_GB2312"/>
                <w:color w:val="000000" w:themeColor="text1"/>
                <w:sz w:val="24"/>
                <w14:textFill>
                  <w14:solidFill>
                    <w14:schemeClr w14:val="tx1"/>
                  </w14:solidFill>
                </w14:textFill>
              </w:rPr>
            </w:pPr>
          </w:p>
        </w:tc>
      </w:tr>
    </w:tbl>
    <w:p>
      <w:pPr>
        <w:tabs>
          <w:tab w:val="left" w:pos="180"/>
        </w:tabs>
        <w:spacing w:line="240" w:lineRule="atLeast"/>
        <w:jc w:val="center"/>
        <w:rPr>
          <w:rFonts w:ascii="仿宋_GB2312" w:eastAsia="仿宋_GB2312"/>
          <w:color w:val="000000" w:themeColor="text1"/>
          <w:sz w:val="28"/>
          <w14:textFill>
            <w14:solidFill>
              <w14:schemeClr w14:val="tx1"/>
            </w14:solidFill>
          </w14:textFill>
        </w:rPr>
      </w:pPr>
    </w:p>
    <w:p>
      <w:pPr>
        <w:pStyle w:val="26"/>
        <w:snapToGrid w:val="0"/>
        <w:spacing w:line="300" w:lineRule="auto"/>
        <w:ind w:left="249" w:firstLine="0" w:firstLineChars="0"/>
        <w:rPr>
          <w:rFonts w:ascii="宋体" w:hAnsi="宋体"/>
          <w:b/>
          <w:color w:val="000000" w:themeColor="text1"/>
          <w:sz w:val="28"/>
          <w14:textFill>
            <w14:solidFill>
              <w14:schemeClr w14:val="tx1"/>
            </w14:solidFill>
          </w14:textFill>
        </w:rPr>
      </w:pPr>
    </w:p>
    <w:p>
      <w:pPr>
        <w:widowControl/>
        <w:jc w:val="lef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br w:type="page"/>
      </w:r>
    </w:p>
    <w:p>
      <w:pPr>
        <w:pStyle w:val="26"/>
        <w:numPr>
          <w:ilvl w:val="0"/>
          <w:numId w:val="1"/>
        </w:numPr>
        <w:snapToGrid w:val="0"/>
        <w:spacing w:line="300" w:lineRule="auto"/>
        <w:ind w:firstLineChars="0"/>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目的和适用范围</w:t>
      </w:r>
    </w:p>
    <w:p>
      <w:pPr>
        <w:pStyle w:val="26"/>
        <w:numPr>
          <w:ilvl w:val="1"/>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为确保申请者的权利和相关社会团体及个人的利益，特制定本程序。</w:t>
      </w:r>
    </w:p>
    <w:p>
      <w:pPr>
        <w:pStyle w:val="26"/>
        <w:numPr>
          <w:ilvl w:val="1"/>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本程序使用于本机构的自愿性产品认证和</w:t>
      </w:r>
      <w:r>
        <w:rPr>
          <w:rFonts w:ascii="宋体" w:hAnsi="宋体"/>
          <w:color w:val="000000" w:themeColor="text1"/>
          <w:sz w:val="24"/>
          <w14:textFill>
            <w14:solidFill>
              <w14:schemeClr w14:val="tx1"/>
            </w14:solidFill>
          </w14:textFill>
        </w:rPr>
        <w:t>强制性产品认证</w:t>
      </w:r>
      <w:r>
        <w:rPr>
          <w:rFonts w:hint="eastAsia" w:ascii="宋体" w:hAnsi="宋体"/>
          <w:color w:val="000000" w:themeColor="text1"/>
          <w:sz w:val="24"/>
          <w14:textFill>
            <w14:solidFill>
              <w14:schemeClr w14:val="tx1"/>
            </w14:solidFill>
          </w14:textFill>
        </w:rPr>
        <w:t>，适用于对本机构的申诉、投诉及争议的处理。</w:t>
      </w:r>
    </w:p>
    <w:p>
      <w:pPr>
        <w:pStyle w:val="26"/>
        <w:numPr>
          <w:ilvl w:val="0"/>
          <w:numId w:val="1"/>
        </w:numPr>
        <w:snapToGrid w:val="0"/>
        <w:spacing w:line="300" w:lineRule="auto"/>
        <w:ind w:firstLineChars="0"/>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职责</w:t>
      </w:r>
    </w:p>
    <w:p>
      <w:pPr>
        <w:pStyle w:val="26"/>
        <w:numPr>
          <w:ilvl w:val="1"/>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各部门负责投诉、申诉和争议的收集</w:t>
      </w:r>
      <w:r>
        <w:rPr>
          <w:rFonts w:ascii="宋体" w:hAnsi="宋体"/>
          <w:color w:val="000000" w:themeColor="text1"/>
          <w:sz w:val="24"/>
          <w14:textFill>
            <w14:solidFill>
              <w14:schemeClr w14:val="tx1"/>
            </w14:solidFill>
          </w14:textFill>
        </w:rPr>
        <w:t>、传递</w:t>
      </w:r>
      <w:r>
        <w:rPr>
          <w:rFonts w:hint="eastAsia" w:ascii="宋体" w:hAnsi="宋体"/>
          <w:color w:val="000000" w:themeColor="text1"/>
          <w:sz w:val="24"/>
          <w14:textFill>
            <w14:solidFill>
              <w14:schemeClr w14:val="tx1"/>
            </w14:solidFill>
          </w14:textFill>
        </w:rPr>
        <w:t>。</w:t>
      </w:r>
    </w:p>
    <w:p>
      <w:pPr>
        <w:pStyle w:val="26"/>
        <w:numPr>
          <w:ilvl w:val="1"/>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负责投诉、申诉和争议的处理、</w:t>
      </w:r>
      <w:r>
        <w:rPr>
          <w:rFonts w:ascii="宋体" w:hAnsi="宋体"/>
          <w:color w:val="000000" w:themeColor="text1"/>
          <w:sz w:val="24"/>
          <w14:textFill>
            <w14:solidFill>
              <w14:schemeClr w14:val="tx1"/>
            </w14:solidFill>
          </w14:textFill>
        </w:rPr>
        <w:t>存档。</w:t>
      </w:r>
    </w:p>
    <w:p>
      <w:pPr>
        <w:pStyle w:val="26"/>
        <w:numPr>
          <w:ilvl w:val="0"/>
          <w:numId w:val="1"/>
        </w:numPr>
        <w:snapToGrid w:val="0"/>
        <w:spacing w:line="300" w:lineRule="auto"/>
        <w:ind w:firstLineChars="0"/>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工作程序</w:t>
      </w:r>
    </w:p>
    <w:p>
      <w:pPr>
        <w:pStyle w:val="26"/>
        <w:numPr>
          <w:ilvl w:val="1"/>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定义</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申诉：申请者请VCS就其做出的与申请者期望的认证状态有关的决定进行重新考虑的正式书面请求。包括：</w:t>
      </w:r>
      <w:r>
        <w:rPr>
          <w:rFonts w:ascii="宋体" w:hAnsi="宋体"/>
          <w:color w:val="000000" w:themeColor="text1"/>
          <w:sz w:val="24"/>
          <w14:textFill>
            <w14:solidFill>
              <w14:schemeClr w14:val="tx1"/>
            </w14:solidFill>
          </w14:textFill>
        </w:rPr>
        <w:t xml:space="preserve"> </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无正当理由不接受申请或不继续进行认证评审；</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对认证决定和颁发的证书有异议；</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对暂停、注销或撤消认证证书有异议；</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投诉：除申诉外，任何组织或个人向VCS表达的，对VCS、机构各业务部、相关人员或对证书持有人的活动不满意并希望得到答复的书面表示。包括：</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拖期实施认证审查的；</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对检查员的资格有异议的；</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对检查组的组成有异议的；</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对VCS或人员认为有违章行为的；</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认为VCS违章收费的；</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对予以认证产品的标准符合性有异议的；</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对认证证书和标志的使用有异议；</w:t>
      </w:r>
    </w:p>
    <w:p>
      <w:pPr>
        <w:pStyle w:val="26"/>
        <w:numPr>
          <w:ilvl w:val="0"/>
          <w:numId w:val="2"/>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争议：申请者与VCS、机构各业务部门或相关人员在认证活动中就认证程序和认证技术的不同意见的书面表述。</w:t>
      </w:r>
    </w:p>
    <w:p>
      <w:pPr>
        <w:pStyle w:val="26"/>
        <w:numPr>
          <w:ilvl w:val="1"/>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总则</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VCS处理申诉、投诉和争议以事实为依据，以国家相关法律法规、标准和相应产品认证实施规则为准则。</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申诉、投诉处理工作人员对其所涉及到的任何与申诉、投诉有关的非公开信息负有保密的责任。</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参与申诉、投诉处理的所有工作人员，均应保持客观公正。</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与申诉、投诉事件有直接利害关系（曾为申诉、投诉提出人提供过咨询或曾被其聘用过或担任过管理职责）的工作人员，均应在结束直接利害关系两年内回避该项申诉、投诉的处理工作。</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职责</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申诉人、</w:t>
      </w:r>
      <w:r>
        <w:rPr>
          <w:rFonts w:ascii="宋体" w:hAnsi="宋体"/>
          <w:color w:val="000000" w:themeColor="text1"/>
          <w:sz w:val="24"/>
          <w14:textFill>
            <w14:solidFill>
              <w14:schemeClr w14:val="tx1"/>
            </w14:solidFill>
          </w14:textFill>
        </w:rPr>
        <w:t>投诉人</w:t>
      </w:r>
      <w:r>
        <w:rPr>
          <w:rFonts w:hint="eastAsia" w:ascii="宋体" w:hAnsi="宋体"/>
          <w:color w:val="000000" w:themeColor="text1"/>
          <w:sz w:val="24"/>
          <w14:textFill>
            <w14:solidFill>
              <w14:schemeClr w14:val="tx1"/>
            </w14:solidFill>
          </w14:textFill>
        </w:rPr>
        <w:t>将</w:t>
      </w:r>
      <w:r>
        <w:rPr>
          <w:rFonts w:ascii="宋体" w:hAnsi="宋体"/>
          <w:color w:val="000000" w:themeColor="text1"/>
          <w:sz w:val="24"/>
          <w14:textFill>
            <w14:solidFill>
              <w14:schemeClr w14:val="tx1"/>
            </w14:solidFill>
          </w14:textFill>
        </w:rPr>
        <w:t>填写好的</w:t>
      </w:r>
      <w:r>
        <w:rPr>
          <w:rFonts w:hint="eastAsia" w:ascii="宋体" w:hAnsi="宋体"/>
          <w:color w:val="000000" w:themeColor="text1"/>
          <w:sz w:val="24"/>
          <w14:textFill>
            <w14:solidFill>
              <w14:schemeClr w14:val="tx1"/>
            </w14:solidFill>
          </w14:textFill>
        </w:rPr>
        <w:t>申诉、投诉和争议记录表（QPG0</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01）上报</w:t>
      </w:r>
      <w:r>
        <w:rPr>
          <w:rFonts w:ascii="宋体" w:hAnsi="宋体"/>
          <w:color w:val="000000" w:themeColor="text1"/>
          <w:sz w:val="24"/>
          <w14:textFill>
            <w14:solidFill>
              <w14:schemeClr w14:val="tx1"/>
            </w14:solidFill>
          </w14:textFill>
        </w:rPr>
        <w:t>至VCS。</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负责对申诉、投诉和争议的受理，并</w:t>
      </w:r>
      <w:r>
        <w:rPr>
          <w:rFonts w:ascii="宋体" w:hAnsi="宋体"/>
          <w:color w:val="000000" w:themeColor="text1"/>
          <w:sz w:val="24"/>
          <w14:textFill>
            <w14:solidFill>
              <w14:schemeClr w14:val="tx1"/>
            </w14:solidFill>
          </w14:textFill>
        </w:rPr>
        <w:t>在过程记录到</w:t>
      </w:r>
      <w:r>
        <w:rPr>
          <w:rFonts w:hint="eastAsia" w:ascii="宋体" w:hAnsi="宋体"/>
          <w:color w:val="000000" w:themeColor="text1"/>
          <w:sz w:val="24"/>
          <w14:textFill>
            <w14:solidFill>
              <w14:schemeClr w14:val="tx1"/>
            </w14:solidFill>
          </w14:textFill>
        </w:rPr>
        <w:t>记录申诉、投诉和争议处理结果记录单（QPG0</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）中。</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处理工作组负责处理具体的申诉、投诉和争议。工作组由VCS管理者</w:t>
      </w:r>
      <w:r>
        <w:rPr>
          <w:rFonts w:ascii="宋体" w:hAnsi="宋体"/>
          <w:color w:val="000000" w:themeColor="text1"/>
          <w:sz w:val="24"/>
          <w14:textFill>
            <w14:solidFill>
              <w14:schemeClr w14:val="tx1"/>
            </w14:solidFill>
          </w14:textFill>
        </w:rPr>
        <w:t>代表</w:t>
      </w:r>
      <w:r>
        <w:rPr>
          <w:rFonts w:hint="eastAsia" w:ascii="宋体" w:hAnsi="宋体"/>
          <w:color w:val="000000" w:themeColor="text1"/>
          <w:sz w:val="24"/>
          <w14:textFill>
            <w14:solidFill>
              <w14:schemeClr w14:val="tx1"/>
            </w14:solidFill>
          </w14:textFill>
        </w:rPr>
        <w:t>授权，</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与申诉对象不存在利害关系。</w:t>
      </w:r>
    </w:p>
    <w:p>
      <w:pPr>
        <w:pStyle w:val="26"/>
        <w:numPr>
          <w:ilvl w:val="1"/>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处理</w:t>
      </w:r>
      <w:r>
        <w:rPr>
          <w:rFonts w:ascii="宋体" w:hAnsi="宋体"/>
          <w:color w:val="000000" w:themeColor="text1"/>
          <w:sz w:val="24"/>
          <w14:textFill>
            <w14:solidFill>
              <w14:schemeClr w14:val="tx1"/>
            </w14:solidFill>
          </w14:textFill>
        </w:rPr>
        <w:t xml:space="preserve"> </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申诉的提出</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申诉人应以书面的方式就投诉所涉及的事件(在该事件发生后一个月内)向VCS提出，申诉应以书面文件形式并经申诉方负责人签名</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盖章后提交</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申诉的调查和处理</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对所提交的申诉文件进行登记，并报告VCS领导，同时通知投诉人收到投诉材料。由VCS无利害关系的人员组成申诉处理工作组，并采取各种措施获取证据，如听取双方陈述、现场调查、调取书面证据、向专家咨询等，做出有根据的判断。</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申诉结果反馈</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申诉处理工作组基于调查的事实提出处理决定，并通过</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书面通知申诉人及有关各方。自申诉文件提交到</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个月内，申诉处理工作组必须对申诉做出决定。</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如果申诉人对申诉决定仍然不满意，可继续向</w:t>
      </w:r>
      <w:r>
        <w:rPr>
          <w:rFonts w:ascii="宋体" w:hAnsi="宋体"/>
          <w:color w:val="000000" w:themeColor="text1"/>
          <w:sz w:val="24"/>
          <w14:textFill>
            <w14:solidFill>
              <w14:schemeClr w14:val="tx1"/>
            </w14:solidFill>
          </w14:textFill>
        </w:rPr>
        <w:t>CNCA</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CNAS</w:t>
      </w:r>
      <w:r>
        <w:rPr>
          <w:rFonts w:hint="eastAsia" w:ascii="宋体" w:hAnsi="宋体"/>
          <w:color w:val="000000" w:themeColor="text1"/>
          <w:sz w:val="24"/>
          <w14:textFill>
            <w14:solidFill>
              <w14:schemeClr w14:val="tx1"/>
            </w14:solidFill>
          </w14:textFill>
        </w:rPr>
        <w:t>提出申诉。</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投诉</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投诉的提出</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投诉应以书面形式就投诉所涉及的事件向</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提出。投诉人须提供所投诉事件的详细情况、证明材料并签章。通常情况下，VCS不受理匿名投诉。</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投诉的调查与处理</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对所提交的投诉进行记录，确定投诉的性质, 并同时通知投诉人收到投诉材料。</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对机构投诉的，由</w:t>
      </w:r>
      <w:r>
        <w:rPr>
          <w:rFonts w:hint="eastAsia" w:ascii="宋体" w:hAnsi="宋体"/>
          <w:color w:val="000000" w:themeColor="text1"/>
          <w:sz w:val="24"/>
          <w:lang w:val="en-US" w:eastAsia="zh-CN"/>
          <w14:textFill>
            <w14:solidFill>
              <w14:schemeClr w14:val="tx1"/>
            </w14:solidFill>
          </w14:textFill>
        </w:rPr>
        <w:t>质量负责人</w:t>
      </w:r>
      <w:r>
        <w:rPr>
          <w:rFonts w:hint="eastAsia" w:ascii="宋体" w:hAnsi="宋体"/>
          <w:color w:val="000000" w:themeColor="text1"/>
          <w:sz w:val="24"/>
          <w14:textFill>
            <w14:solidFill>
              <w14:schemeClr w14:val="tx1"/>
            </w14:solidFill>
          </w14:textFill>
        </w:rPr>
        <w:t>代表组织独立于投诉事项的人员进行处理，必要时成立调查组，提出处理意见，经机构领导批准后执行。有关方面应积极配合调查与处理。</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向VCS提出的对证书持有人的投诉，</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负责根据投诉信息的内容和性质，要求证书持有人做出书面说明并提交相关证据，必要时由VCS组织调查组进行现场调查。对于需要采取纠正措施的，要求有关证书持有人采取措施并上报</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，必要时</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将组织人员验证措施的有效性，根据结果做出与认证</w:t>
      </w:r>
      <w:bookmarkStart w:id="0" w:name="_GoBack"/>
      <w:bookmarkEnd w:id="0"/>
      <w:r>
        <w:rPr>
          <w:rFonts w:hint="eastAsia" w:ascii="宋体" w:hAnsi="宋体"/>
          <w:color w:val="000000" w:themeColor="text1"/>
          <w:sz w:val="24"/>
          <w14:textFill>
            <w14:solidFill>
              <w14:schemeClr w14:val="tx1"/>
            </w14:solidFill>
          </w14:textFill>
        </w:rPr>
        <w:t>资格相关的决定。</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应在受理投诉后的</w:t>
      </w:r>
      <w:r>
        <w:rPr>
          <w:rFonts w:ascii="宋体" w:hAnsi="宋体"/>
          <w:color w:val="000000" w:themeColor="text1"/>
          <w:sz w:val="24"/>
          <w14:textFill>
            <w14:solidFill>
              <w14:schemeClr w14:val="tx1"/>
            </w14:solidFill>
          </w14:textFill>
        </w:rPr>
        <w:t>60</w:t>
      </w:r>
      <w:r>
        <w:rPr>
          <w:rFonts w:hint="eastAsia" w:ascii="宋体" w:hAnsi="宋体"/>
          <w:color w:val="000000" w:themeColor="text1"/>
          <w:sz w:val="24"/>
          <w14:textFill>
            <w14:solidFill>
              <w14:schemeClr w14:val="tx1"/>
            </w14:solidFill>
          </w14:textFill>
        </w:rPr>
        <w:t>日内将处理结果报经VCS领导后反馈给投诉方。如果投诉方对处理结果不满意，可以继续向VCS提出申诉，或向</w:t>
      </w:r>
      <w:r>
        <w:rPr>
          <w:rFonts w:ascii="宋体" w:hAnsi="宋体"/>
          <w:color w:val="000000" w:themeColor="text1"/>
          <w:sz w:val="24"/>
          <w14:textFill>
            <w14:solidFill>
              <w14:schemeClr w14:val="tx1"/>
            </w14:solidFill>
          </w14:textFill>
        </w:rPr>
        <w:t>CNCA</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CNAS</w:t>
      </w:r>
      <w:r>
        <w:rPr>
          <w:rFonts w:hint="eastAsia" w:ascii="宋体" w:hAnsi="宋体"/>
          <w:color w:val="000000" w:themeColor="text1"/>
          <w:sz w:val="24"/>
          <w14:textFill>
            <w14:solidFill>
              <w14:schemeClr w14:val="tx1"/>
            </w14:solidFill>
          </w14:textFill>
        </w:rPr>
        <w:t>提出投诉或申诉。</w:t>
      </w:r>
    </w:p>
    <w:p>
      <w:pPr>
        <w:pStyle w:val="26"/>
        <w:numPr>
          <w:ilvl w:val="2"/>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争议的提出</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就检查过程中的不同意见提出的争议，一般由检查组长与受检查方依据国家相关法律法规、标准和相应产品认证实施规则等文件协商处理。对协商不能取得一致意见的，检查组长可做出检查组的相关结论，但须将争议的情况在</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日内书面报告</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。受检查方也可以在</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日内直接以书面文件形式向质量与控制部提出争议。</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就其他场合发生的争议，应在争议所涉及的事件发生后</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日内以书面文件形式向VCS提出。</w:t>
      </w:r>
      <w:r>
        <w:rPr>
          <w:rFonts w:ascii="宋体" w:hAnsi="宋体"/>
          <w:color w:val="000000" w:themeColor="text1"/>
          <w:sz w:val="24"/>
          <w14:textFill>
            <w14:solidFill>
              <w14:schemeClr w14:val="tx1"/>
            </w14:solidFill>
          </w14:textFill>
        </w:rPr>
        <w:t xml:space="preserve"> </w:t>
      </w:r>
    </w:p>
    <w:p>
      <w:pPr>
        <w:pStyle w:val="26"/>
        <w:numPr>
          <w:ilvl w:val="3"/>
          <w:numId w:val="1"/>
        </w:numPr>
        <w:snapToGrid w:val="0"/>
        <w:spacing w:line="30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争议的处理</w:t>
      </w:r>
      <w:r>
        <w:rPr>
          <w:rFonts w:ascii="宋体" w:hAnsi="宋体"/>
          <w:color w:val="000000" w:themeColor="text1"/>
          <w:sz w:val="24"/>
          <w14:textFill>
            <w14:solidFill>
              <w14:schemeClr w14:val="tx1"/>
            </w14:solidFill>
          </w14:textFill>
        </w:rPr>
        <w:t xml:space="preserve"> </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对所提交的争议进行记录（联络人、电话、地址等），由工作组进行研究，必要时，其他部门或相关人员参与对争议的研究讨论。</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相关部门或人员在</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日内将书面研究结果通过</w:t>
      </w:r>
      <w:r>
        <w:rPr>
          <w:rFonts w:hint="eastAsia" w:ascii="宋体" w:hAnsi="宋体"/>
          <w:color w:val="000000" w:themeColor="text1"/>
          <w:sz w:val="24"/>
          <w:lang w:eastAsia="zh-CN"/>
          <w14:textFill>
            <w14:solidFill>
              <w14:schemeClr w14:val="tx1"/>
            </w14:solidFill>
          </w14:textFill>
        </w:rPr>
        <w:t>质量部</w:t>
      </w:r>
      <w:r>
        <w:rPr>
          <w:rFonts w:hint="eastAsia" w:ascii="宋体" w:hAnsi="宋体"/>
          <w:color w:val="000000" w:themeColor="text1"/>
          <w:sz w:val="24"/>
          <w14:textFill>
            <w14:solidFill>
              <w14:schemeClr w14:val="tx1"/>
            </w14:solidFill>
          </w14:textFill>
        </w:rPr>
        <w:t>通知提出人。</w:t>
      </w:r>
    </w:p>
    <w:p>
      <w:pPr>
        <w:pStyle w:val="26"/>
        <w:numPr>
          <w:ilvl w:val="4"/>
          <w:numId w:val="1"/>
        </w:numPr>
        <w:snapToGrid w:val="0"/>
        <w:spacing w:line="300" w:lineRule="auto"/>
        <w:ind w:left="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争议提出人如果对处理结果不满意，可以通过申诉、投诉程序向VCS继续提出申诉或投诉。</w:t>
      </w:r>
    </w:p>
    <w:p>
      <w:pPr>
        <w:pStyle w:val="26"/>
        <w:numPr>
          <w:ilvl w:val="0"/>
          <w:numId w:val="1"/>
        </w:numPr>
        <w:snapToGrid w:val="0"/>
        <w:spacing w:line="300" w:lineRule="auto"/>
        <w:ind w:firstLineChars="0"/>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记录</w:t>
      </w:r>
    </w:p>
    <w:p>
      <w:pPr>
        <w:pStyle w:val="26"/>
        <w:numPr>
          <w:ilvl w:val="0"/>
          <w:numId w:val="3"/>
        </w:numPr>
        <w:tabs>
          <w:tab w:val="left" w:pos="426"/>
        </w:tabs>
        <w:snapToGrid w:val="0"/>
        <w:spacing w:line="300" w:lineRule="auto"/>
        <w:ind w:left="424" w:leftChars="202"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申诉、投诉和争议记录表（QPG0</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01）</w:t>
      </w:r>
    </w:p>
    <w:p>
      <w:pPr>
        <w:pStyle w:val="26"/>
        <w:numPr>
          <w:ilvl w:val="0"/>
          <w:numId w:val="3"/>
        </w:numPr>
        <w:tabs>
          <w:tab w:val="left" w:pos="426"/>
        </w:tabs>
        <w:snapToGrid w:val="0"/>
        <w:spacing w:line="300" w:lineRule="auto"/>
        <w:ind w:left="424" w:leftChars="202"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申诉、投诉和争议处理结果记录单（QPG0</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02）</w:t>
      </w:r>
    </w:p>
    <w:sectPr>
      <w:headerReference r:id="rId3" w:type="default"/>
      <w:footerReference r:id="rId4" w:type="default"/>
      <w:footerReference r:id="rId5"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625"/>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70" w:type="dxa"/>
          <w:vMerge w:val="restart"/>
          <w:vAlign w:val="center"/>
        </w:tcPr>
        <w:p>
          <w:pPr>
            <w:pStyle w:val="13"/>
            <w:pBdr>
              <w:bottom w:val="none" w:color="auto" w:sz="0" w:space="0"/>
            </w:pBdr>
          </w:pPr>
          <w:r>
            <w:rPr>
              <w:rFonts w:ascii="Tahoma" w:hAnsi="Tahoma" w:cs="Tahoma"/>
              <w:color w:val="000000"/>
              <w:sz w:val="24"/>
            </w:rPr>
            <w:drawing>
              <wp:inline distT="0" distB="0" distL="0" distR="0">
                <wp:extent cx="645795" cy="607695"/>
                <wp:effectExtent l="19050" t="0" r="1587" b="0"/>
                <wp:docPr id="10" name="图片 10" descr="VSKY认证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VSKY认证标志"/>
                        <pic:cNvPicPr>
                          <a:picLocks noChangeAspect="1" noChangeArrowheads="1"/>
                        </pic:cNvPicPr>
                      </pic:nvPicPr>
                      <pic:blipFill>
                        <a:blip r:embed="rId1"/>
                        <a:srcRect/>
                        <a:stretch>
                          <a:fillRect/>
                        </a:stretch>
                      </pic:blipFill>
                      <pic:spPr>
                        <a:xfrm>
                          <a:off x="0" y="0"/>
                          <a:ext cx="648113" cy="609989"/>
                        </a:xfrm>
                        <a:prstGeom prst="rect">
                          <a:avLst/>
                        </a:prstGeom>
                        <a:noFill/>
                        <a:ln w="9525">
                          <a:noFill/>
                          <a:miter lim="800000"/>
                          <a:headEnd/>
                          <a:tailEnd/>
                        </a:ln>
                      </pic:spPr>
                    </pic:pic>
                  </a:graphicData>
                </a:graphic>
              </wp:inline>
            </w:drawing>
          </w:r>
        </w:p>
      </w:tc>
      <w:tc>
        <w:tcPr>
          <w:tcW w:w="2625" w:type="dxa"/>
          <w:vAlign w:val="center"/>
        </w:tcPr>
        <w:p>
          <w:pPr>
            <w:pStyle w:val="13"/>
            <w:pBdr>
              <w:bottom w:val="none" w:color="auto" w:sz="0" w:space="0"/>
            </w:pBdr>
            <w:rPr>
              <w:rFonts w:ascii="楷体_GB2312" w:eastAsia="楷体_GB2312"/>
              <w:b/>
              <w:sz w:val="28"/>
            </w:rPr>
          </w:pPr>
          <w:r>
            <w:rPr>
              <w:rFonts w:ascii="楷体_GB2312" w:eastAsia="楷体_GB2312"/>
              <w:b/>
              <w:sz w:val="28"/>
            </w:rPr>
            <w:t>VCS-QP-G08-2014</w:t>
          </w:r>
        </w:p>
      </w:tc>
      <w:tc>
        <w:tcPr>
          <w:tcW w:w="5040" w:type="dxa"/>
          <w:vAlign w:val="center"/>
        </w:tcPr>
        <w:p>
          <w:pPr>
            <w:pStyle w:val="13"/>
            <w:pBdr>
              <w:bottom w:val="none" w:color="auto" w:sz="0" w:space="0"/>
            </w:pBdr>
            <w:rPr>
              <w:rFonts w:ascii="楷体_GB2312" w:eastAsia="楷体_GB2312"/>
              <w:b/>
              <w:sz w:val="28"/>
            </w:rPr>
          </w:pPr>
          <w:r>
            <w:rPr>
              <w:rFonts w:hint="eastAsia" w:ascii="楷体_GB2312" w:eastAsia="楷体_GB2312"/>
              <w:b/>
              <w:sz w:val="28"/>
            </w:rPr>
            <w:t>投诉、申诉和争议处理程序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70" w:type="dxa"/>
          <w:vMerge w:val="continue"/>
          <w:vAlign w:val="center"/>
        </w:tcPr>
        <w:p>
          <w:pPr>
            <w:pStyle w:val="13"/>
            <w:pBdr>
              <w:bottom w:val="none" w:color="auto" w:sz="0" w:space="0"/>
            </w:pBdr>
          </w:pPr>
        </w:p>
      </w:tc>
      <w:tc>
        <w:tcPr>
          <w:tcW w:w="2625" w:type="dxa"/>
          <w:vAlign w:val="center"/>
        </w:tcPr>
        <w:p>
          <w:pPr>
            <w:pStyle w:val="13"/>
            <w:pBdr>
              <w:bottom w:val="none" w:color="auto" w:sz="0" w:space="0"/>
            </w:pBdr>
            <w:rPr>
              <w:rFonts w:ascii="楷体_GB2312" w:eastAsia="楷体_GB2312"/>
              <w:b/>
              <w:sz w:val="28"/>
            </w:rPr>
          </w:pPr>
          <w:r>
            <w:rPr>
              <w:rFonts w:hint="eastAsia" w:ascii="楷体_GB2312" w:eastAsia="楷体_GB2312"/>
              <w:b/>
              <w:sz w:val="28"/>
            </w:rPr>
            <w:t>修 改：</w:t>
          </w:r>
          <w:r>
            <w:rPr>
              <w:rFonts w:ascii="楷体_GB2312" w:eastAsia="楷体_GB2312"/>
              <w:b/>
              <w:sz w:val="28"/>
            </w:rPr>
            <w:t>0</w:t>
          </w:r>
        </w:p>
      </w:tc>
      <w:tc>
        <w:tcPr>
          <w:tcW w:w="5040" w:type="dxa"/>
          <w:vAlign w:val="center"/>
        </w:tcPr>
        <w:p>
          <w:pPr>
            <w:pStyle w:val="13"/>
            <w:pBdr>
              <w:bottom w:val="none" w:color="auto" w:sz="0" w:space="0"/>
            </w:pBdr>
            <w:rPr>
              <w:rFonts w:ascii="楷体_GB2312" w:eastAsia="楷体_GB2312"/>
              <w:b/>
              <w:sz w:val="28"/>
            </w:rPr>
          </w:pPr>
          <w:r>
            <w:rPr>
              <w:rFonts w:hint="eastAsia" w:ascii="楷体_GB2312" w:eastAsia="楷体_GB2312"/>
              <w:b/>
              <w:sz w:val="28"/>
            </w:rPr>
            <w:t>第</w:t>
          </w:r>
          <w:r>
            <w:rPr>
              <w:rFonts w:ascii="楷体_GB2312" w:eastAsia="楷体_GB2312"/>
              <w:b/>
              <w:sz w:val="28"/>
            </w:rPr>
            <w:t xml:space="preserve"> </w:t>
          </w:r>
          <w:r>
            <w:rPr>
              <w:rFonts w:ascii="楷体_GB2312" w:eastAsia="楷体_GB2312"/>
              <w:b/>
              <w:sz w:val="28"/>
            </w:rPr>
            <w:fldChar w:fldCharType="begin"/>
          </w:r>
          <w:r>
            <w:rPr>
              <w:rFonts w:ascii="楷体_GB2312" w:eastAsia="楷体_GB2312"/>
              <w:b/>
              <w:sz w:val="28"/>
            </w:rPr>
            <w:instrText xml:space="preserve"> PAGE  \* Arabic </w:instrText>
          </w:r>
          <w:r>
            <w:rPr>
              <w:rFonts w:ascii="楷体_GB2312" w:eastAsia="楷体_GB2312"/>
              <w:b/>
              <w:sz w:val="28"/>
            </w:rPr>
            <w:fldChar w:fldCharType="separate"/>
          </w:r>
          <w:r>
            <w:rPr>
              <w:rFonts w:ascii="楷体_GB2312" w:eastAsia="楷体_GB2312"/>
              <w:b/>
              <w:sz w:val="28"/>
            </w:rPr>
            <w:t>4</w:t>
          </w:r>
          <w:r>
            <w:rPr>
              <w:rFonts w:ascii="楷体_GB2312" w:eastAsia="楷体_GB2312"/>
              <w:b/>
              <w:sz w:val="28"/>
            </w:rPr>
            <w:fldChar w:fldCharType="end"/>
          </w:r>
          <w:r>
            <w:rPr>
              <w:rFonts w:ascii="楷体_GB2312" w:eastAsia="楷体_GB2312"/>
              <w:b/>
              <w:sz w:val="28"/>
            </w:rPr>
            <w:t xml:space="preserve"> </w:t>
          </w:r>
          <w:r>
            <w:rPr>
              <w:rFonts w:hint="eastAsia" w:ascii="楷体_GB2312" w:eastAsia="楷体_GB2312"/>
              <w:b/>
              <w:sz w:val="28"/>
            </w:rPr>
            <w:t>页</w:t>
          </w:r>
          <w:r>
            <w:rPr>
              <w:rFonts w:ascii="楷体_GB2312" w:eastAsia="楷体_GB2312"/>
              <w:b/>
              <w:sz w:val="28"/>
            </w:rPr>
            <w:t xml:space="preserve"> </w:t>
          </w:r>
          <w:r>
            <w:rPr>
              <w:rFonts w:hint="eastAsia" w:ascii="楷体_GB2312" w:eastAsia="楷体_GB2312"/>
              <w:b/>
              <w:sz w:val="28"/>
            </w:rPr>
            <w:t>共</w:t>
          </w:r>
          <w:r>
            <w:rPr>
              <w:rFonts w:ascii="楷体_GB2312" w:eastAsia="楷体_GB2312"/>
              <w:b/>
              <w:sz w:val="28"/>
            </w:rPr>
            <w:t xml:space="preserve"> </w:t>
          </w:r>
          <w:r>
            <w:rPr>
              <w:rFonts w:hint="eastAsia" w:ascii="楷体_GB2312" w:eastAsia="楷体_GB2312"/>
              <w:b/>
              <w:sz w:val="28"/>
            </w:rPr>
            <w:t>5 页</w:t>
          </w:r>
        </w:p>
      </w:tc>
    </w:tr>
  </w:tb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07DB"/>
    <w:multiLevelType w:val="multilevel"/>
    <w:tmpl w:val="08D507D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567" w:hanging="567"/>
      </w:pPr>
    </w:lvl>
    <w:lvl w:ilvl="3" w:tentative="0">
      <w:start w:val="1"/>
      <w:numFmt w:val="decimal"/>
      <w:lvlText w:val="%1.%2.%3.%4"/>
      <w:lvlJc w:val="left"/>
      <w:pPr>
        <w:ind w:left="708"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F8D22C6"/>
    <w:multiLevelType w:val="multilevel"/>
    <w:tmpl w:val="4F8D22C6"/>
    <w:lvl w:ilvl="0" w:tentative="0">
      <w:start w:val="3"/>
      <w:numFmt w:val="bullet"/>
      <w:lvlText w:val="-"/>
      <w:lvlJc w:val="left"/>
      <w:pPr>
        <w:ind w:left="927" w:hanging="360"/>
      </w:pPr>
      <w:rPr>
        <w:rFonts w:hint="eastAsia" w:ascii="宋体" w:hAnsi="宋体" w:eastAsia="宋体"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0A12FEA"/>
    <w:multiLevelType w:val="multilevel"/>
    <w:tmpl w:val="70A12F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B2"/>
    <w:rsid w:val="0000191F"/>
    <w:rsid w:val="00003C64"/>
    <w:rsid w:val="00005186"/>
    <w:rsid w:val="0000574D"/>
    <w:rsid w:val="000077B8"/>
    <w:rsid w:val="00010FF0"/>
    <w:rsid w:val="00020E53"/>
    <w:rsid w:val="00023590"/>
    <w:rsid w:val="00025D4C"/>
    <w:rsid w:val="0003087C"/>
    <w:rsid w:val="00031181"/>
    <w:rsid w:val="00033D81"/>
    <w:rsid w:val="00034207"/>
    <w:rsid w:val="00040F9F"/>
    <w:rsid w:val="00041456"/>
    <w:rsid w:val="000506B0"/>
    <w:rsid w:val="00057308"/>
    <w:rsid w:val="00060261"/>
    <w:rsid w:val="0006106D"/>
    <w:rsid w:val="00064A8C"/>
    <w:rsid w:val="00066CA7"/>
    <w:rsid w:val="00066E1A"/>
    <w:rsid w:val="00070AF4"/>
    <w:rsid w:val="00072652"/>
    <w:rsid w:val="00077188"/>
    <w:rsid w:val="00077489"/>
    <w:rsid w:val="00083103"/>
    <w:rsid w:val="00083D1A"/>
    <w:rsid w:val="00086A1D"/>
    <w:rsid w:val="00086EC5"/>
    <w:rsid w:val="00095D6C"/>
    <w:rsid w:val="0009740B"/>
    <w:rsid w:val="000A07E2"/>
    <w:rsid w:val="000A1349"/>
    <w:rsid w:val="000A15EA"/>
    <w:rsid w:val="000A3237"/>
    <w:rsid w:val="000A4065"/>
    <w:rsid w:val="000A4496"/>
    <w:rsid w:val="000B0AE5"/>
    <w:rsid w:val="000B4233"/>
    <w:rsid w:val="000B69D8"/>
    <w:rsid w:val="000C2D44"/>
    <w:rsid w:val="000C3070"/>
    <w:rsid w:val="000C51DF"/>
    <w:rsid w:val="000D2324"/>
    <w:rsid w:val="000D2DAC"/>
    <w:rsid w:val="000D4682"/>
    <w:rsid w:val="000D77EE"/>
    <w:rsid w:val="000E037C"/>
    <w:rsid w:val="000E06C5"/>
    <w:rsid w:val="000E787B"/>
    <w:rsid w:val="000F30AC"/>
    <w:rsid w:val="000F77FD"/>
    <w:rsid w:val="00104D97"/>
    <w:rsid w:val="00106710"/>
    <w:rsid w:val="001068A6"/>
    <w:rsid w:val="00112C04"/>
    <w:rsid w:val="0011457C"/>
    <w:rsid w:val="001168E2"/>
    <w:rsid w:val="00124418"/>
    <w:rsid w:val="001275D7"/>
    <w:rsid w:val="00130740"/>
    <w:rsid w:val="0013344F"/>
    <w:rsid w:val="00134EF8"/>
    <w:rsid w:val="00135B2D"/>
    <w:rsid w:val="0014286A"/>
    <w:rsid w:val="00143849"/>
    <w:rsid w:val="0014569D"/>
    <w:rsid w:val="001505A4"/>
    <w:rsid w:val="001510BF"/>
    <w:rsid w:val="00164DF6"/>
    <w:rsid w:val="00172A2F"/>
    <w:rsid w:val="00180456"/>
    <w:rsid w:val="00181447"/>
    <w:rsid w:val="00183EE5"/>
    <w:rsid w:val="00185D2F"/>
    <w:rsid w:val="00194736"/>
    <w:rsid w:val="001A2960"/>
    <w:rsid w:val="001A2FA2"/>
    <w:rsid w:val="001A485B"/>
    <w:rsid w:val="001A62B7"/>
    <w:rsid w:val="001A66D8"/>
    <w:rsid w:val="001B391B"/>
    <w:rsid w:val="001B49AA"/>
    <w:rsid w:val="001B70EF"/>
    <w:rsid w:val="001C1658"/>
    <w:rsid w:val="001C4F15"/>
    <w:rsid w:val="001C5A24"/>
    <w:rsid w:val="001C68E8"/>
    <w:rsid w:val="001E6B90"/>
    <w:rsid w:val="001F07A1"/>
    <w:rsid w:val="001F3642"/>
    <w:rsid w:val="001F7184"/>
    <w:rsid w:val="001F7E99"/>
    <w:rsid w:val="002003BB"/>
    <w:rsid w:val="00204037"/>
    <w:rsid w:val="002045BF"/>
    <w:rsid w:val="002133BB"/>
    <w:rsid w:val="00213A02"/>
    <w:rsid w:val="0021642A"/>
    <w:rsid w:val="0022156D"/>
    <w:rsid w:val="0022734D"/>
    <w:rsid w:val="0023032B"/>
    <w:rsid w:val="002308C2"/>
    <w:rsid w:val="002323F8"/>
    <w:rsid w:val="00233656"/>
    <w:rsid w:val="00237C0F"/>
    <w:rsid w:val="00245584"/>
    <w:rsid w:val="00246656"/>
    <w:rsid w:val="00250856"/>
    <w:rsid w:val="00254619"/>
    <w:rsid w:val="00254663"/>
    <w:rsid w:val="00255DE8"/>
    <w:rsid w:val="00265774"/>
    <w:rsid w:val="002659C5"/>
    <w:rsid w:val="00266CB6"/>
    <w:rsid w:val="002715DE"/>
    <w:rsid w:val="00271B64"/>
    <w:rsid w:val="00277622"/>
    <w:rsid w:val="002839F0"/>
    <w:rsid w:val="002840CD"/>
    <w:rsid w:val="002906FA"/>
    <w:rsid w:val="002955D6"/>
    <w:rsid w:val="00296372"/>
    <w:rsid w:val="002A79B2"/>
    <w:rsid w:val="002B0FC3"/>
    <w:rsid w:val="002B3CF6"/>
    <w:rsid w:val="002B4594"/>
    <w:rsid w:val="002B4E1F"/>
    <w:rsid w:val="002C1ACC"/>
    <w:rsid w:val="002D0E72"/>
    <w:rsid w:val="002D20D9"/>
    <w:rsid w:val="002D2ED6"/>
    <w:rsid w:val="002D6C14"/>
    <w:rsid w:val="002E33B0"/>
    <w:rsid w:val="002E793D"/>
    <w:rsid w:val="002F36A4"/>
    <w:rsid w:val="002F5061"/>
    <w:rsid w:val="00305DD4"/>
    <w:rsid w:val="00312F28"/>
    <w:rsid w:val="0031432B"/>
    <w:rsid w:val="00316459"/>
    <w:rsid w:val="00330E97"/>
    <w:rsid w:val="0033278C"/>
    <w:rsid w:val="0033387D"/>
    <w:rsid w:val="00341710"/>
    <w:rsid w:val="00344171"/>
    <w:rsid w:val="00352567"/>
    <w:rsid w:val="003568EB"/>
    <w:rsid w:val="0035721E"/>
    <w:rsid w:val="003606D8"/>
    <w:rsid w:val="0036109D"/>
    <w:rsid w:val="0036129A"/>
    <w:rsid w:val="00363319"/>
    <w:rsid w:val="00370AD3"/>
    <w:rsid w:val="00374E73"/>
    <w:rsid w:val="00390AC2"/>
    <w:rsid w:val="00390EAB"/>
    <w:rsid w:val="003A0653"/>
    <w:rsid w:val="003A1E21"/>
    <w:rsid w:val="003A1FE0"/>
    <w:rsid w:val="003A27DC"/>
    <w:rsid w:val="003A3406"/>
    <w:rsid w:val="003A77EA"/>
    <w:rsid w:val="003B1B15"/>
    <w:rsid w:val="003B2780"/>
    <w:rsid w:val="003B42F7"/>
    <w:rsid w:val="003B7107"/>
    <w:rsid w:val="003B7A1E"/>
    <w:rsid w:val="003B7EF3"/>
    <w:rsid w:val="003C30EE"/>
    <w:rsid w:val="003C39AD"/>
    <w:rsid w:val="003D37E6"/>
    <w:rsid w:val="003D67CB"/>
    <w:rsid w:val="003E0057"/>
    <w:rsid w:val="003E26CD"/>
    <w:rsid w:val="003F359F"/>
    <w:rsid w:val="003F38D8"/>
    <w:rsid w:val="003F437B"/>
    <w:rsid w:val="003F6646"/>
    <w:rsid w:val="004037E0"/>
    <w:rsid w:val="004075B9"/>
    <w:rsid w:val="004079AB"/>
    <w:rsid w:val="004103A8"/>
    <w:rsid w:val="00411081"/>
    <w:rsid w:val="004118D7"/>
    <w:rsid w:val="00412842"/>
    <w:rsid w:val="004172F0"/>
    <w:rsid w:val="0041763A"/>
    <w:rsid w:val="0041786D"/>
    <w:rsid w:val="00420054"/>
    <w:rsid w:val="0042452E"/>
    <w:rsid w:val="00425DA2"/>
    <w:rsid w:val="0042789E"/>
    <w:rsid w:val="0043076E"/>
    <w:rsid w:val="00431BCE"/>
    <w:rsid w:val="00435934"/>
    <w:rsid w:val="00445CB8"/>
    <w:rsid w:val="0044696A"/>
    <w:rsid w:val="00446AC8"/>
    <w:rsid w:val="00446DC9"/>
    <w:rsid w:val="0045011A"/>
    <w:rsid w:val="00452CAA"/>
    <w:rsid w:val="00452D88"/>
    <w:rsid w:val="0045774E"/>
    <w:rsid w:val="00465F57"/>
    <w:rsid w:val="00467A17"/>
    <w:rsid w:val="00472DC0"/>
    <w:rsid w:val="00473F4C"/>
    <w:rsid w:val="004917AF"/>
    <w:rsid w:val="004957AF"/>
    <w:rsid w:val="004A4048"/>
    <w:rsid w:val="004A4205"/>
    <w:rsid w:val="004A4D7A"/>
    <w:rsid w:val="004A625A"/>
    <w:rsid w:val="004A6E21"/>
    <w:rsid w:val="004A7451"/>
    <w:rsid w:val="004C1FE1"/>
    <w:rsid w:val="004C2F2E"/>
    <w:rsid w:val="004C6984"/>
    <w:rsid w:val="004C6F36"/>
    <w:rsid w:val="004D1140"/>
    <w:rsid w:val="004D5773"/>
    <w:rsid w:val="004D6292"/>
    <w:rsid w:val="004D7DBB"/>
    <w:rsid w:val="004E0088"/>
    <w:rsid w:val="004E036A"/>
    <w:rsid w:val="004E3510"/>
    <w:rsid w:val="004E5C24"/>
    <w:rsid w:val="004E6236"/>
    <w:rsid w:val="004E6FDF"/>
    <w:rsid w:val="004F3B84"/>
    <w:rsid w:val="0050096D"/>
    <w:rsid w:val="005020E0"/>
    <w:rsid w:val="00505DB3"/>
    <w:rsid w:val="0051120B"/>
    <w:rsid w:val="00513828"/>
    <w:rsid w:val="005146B6"/>
    <w:rsid w:val="0052686A"/>
    <w:rsid w:val="00530B2D"/>
    <w:rsid w:val="00534B46"/>
    <w:rsid w:val="00536CEF"/>
    <w:rsid w:val="00537A66"/>
    <w:rsid w:val="00541E1A"/>
    <w:rsid w:val="00542F53"/>
    <w:rsid w:val="00545BBB"/>
    <w:rsid w:val="00550486"/>
    <w:rsid w:val="00552F7E"/>
    <w:rsid w:val="00557D86"/>
    <w:rsid w:val="00562AEC"/>
    <w:rsid w:val="00562F70"/>
    <w:rsid w:val="00564283"/>
    <w:rsid w:val="00574AE0"/>
    <w:rsid w:val="00574E01"/>
    <w:rsid w:val="00575337"/>
    <w:rsid w:val="005755C2"/>
    <w:rsid w:val="00581AEA"/>
    <w:rsid w:val="00582DE7"/>
    <w:rsid w:val="00583FD8"/>
    <w:rsid w:val="005851CD"/>
    <w:rsid w:val="00585264"/>
    <w:rsid w:val="00593B3A"/>
    <w:rsid w:val="00593C33"/>
    <w:rsid w:val="005977F9"/>
    <w:rsid w:val="005A2302"/>
    <w:rsid w:val="005B31D6"/>
    <w:rsid w:val="005B7B42"/>
    <w:rsid w:val="005C1AF6"/>
    <w:rsid w:val="005C534F"/>
    <w:rsid w:val="005C6BB2"/>
    <w:rsid w:val="005C6D05"/>
    <w:rsid w:val="005C75DB"/>
    <w:rsid w:val="005D09ED"/>
    <w:rsid w:val="005D5993"/>
    <w:rsid w:val="005D64AF"/>
    <w:rsid w:val="005E1ADC"/>
    <w:rsid w:val="005E420E"/>
    <w:rsid w:val="005F039E"/>
    <w:rsid w:val="005F0CBF"/>
    <w:rsid w:val="005F1A48"/>
    <w:rsid w:val="005F2F24"/>
    <w:rsid w:val="005F39AC"/>
    <w:rsid w:val="006015F2"/>
    <w:rsid w:val="00603656"/>
    <w:rsid w:val="00606B98"/>
    <w:rsid w:val="006106E3"/>
    <w:rsid w:val="00611D10"/>
    <w:rsid w:val="00613639"/>
    <w:rsid w:val="00616F4D"/>
    <w:rsid w:val="00617FDF"/>
    <w:rsid w:val="00622AA0"/>
    <w:rsid w:val="00625236"/>
    <w:rsid w:val="00627FE2"/>
    <w:rsid w:val="00630B04"/>
    <w:rsid w:val="006319F8"/>
    <w:rsid w:val="006327F9"/>
    <w:rsid w:val="00635F06"/>
    <w:rsid w:val="0063625A"/>
    <w:rsid w:val="006371CC"/>
    <w:rsid w:val="00641339"/>
    <w:rsid w:val="00645722"/>
    <w:rsid w:val="00646675"/>
    <w:rsid w:val="00650970"/>
    <w:rsid w:val="006526F5"/>
    <w:rsid w:val="006556AD"/>
    <w:rsid w:val="00661455"/>
    <w:rsid w:val="006629D4"/>
    <w:rsid w:val="00670D90"/>
    <w:rsid w:val="00673834"/>
    <w:rsid w:val="00673CCA"/>
    <w:rsid w:val="006759E7"/>
    <w:rsid w:val="006765CD"/>
    <w:rsid w:val="00676B48"/>
    <w:rsid w:val="00681DA3"/>
    <w:rsid w:val="00682C40"/>
    <w:rsid w:val="00683BAF"/>
    <w:rsid w:val="00684ACF"/>
    <w:rsid w:val="00690542"/>
    <w:rsid w:val="0069127E"/>
    <w:rsid w:val="00693A09"/>
    <w:rsid w:val="006940FE"/>
    <w:rsid w:val="00697835"/>
    <w:rsid w:val="006A4207"/>
    <w:rsid w:val="006A60A9"/>
    <w:rsid w:val="006A7DDA"/>
    <w:rsid w:val="006B0E37"/>
    <w:rsid w:val="006C0BB5"/>
    <w:rsid w:val="006C257E"/>
    <w:rsid w:val="006C5EB5"/>
    <w:rsid w:val="006C7A68"/>
    <w:rsid w:val="006D2C73"/>
    <w:rsid w:val="006D35C2"/>
    <w:rsid w:val="006D4EAA"/>
    <w:rsid w:val="006D69CC"/>
    <w:rsid w:val="006E0DB4"/>
    <w:rsid w:val="006E13D1"/>
    <w:rsid w:val="006E30FB"/>
    <w:rsid w:val="006E77E6"/>
    <w:rsid w:val="006F46E8"/>
    <w:rsid w:val="006F6B01"/>
    <w:rsid w:val="006F6F57"/>
    <w:rsid w:val="00700975"/>
    <w:rsid w:val="00706568"/>
    <w:rsid w:val="00707E5D"/>
    <w:rsid w:val="007130FE"/>
    <w:rsid w:val="007142FA"/>
    <w:rsid w:val="007149AF"/>
    <w:rsid w:val="00721439"/>
    <w:rsid w:val="00722279"/>
    <w:rsid w:val="0072598B"/>
    <w:rsid w:val="007262F5"/>
    <w:rsid w:val="0073487A"/>
    <w:rsid w:val="00737008"/>
    <w:rsid w:val="0074010E"/>
    <w:rsid w:val="00741C5C"/>
    <w:rsid w:val="007423F4"/>
    <w:rsid w:val="00742BEE"/>
    <w:rsid w:val="0074551C"/>
    <w:rsid w:val="007479E9"/>
    <w:rsid w:val="0075440A"/>
    <w:rsid w:val="00760687"/>
    <w:rsid w:val="00761248"/>
    <w:rsid w:val="00762F38"/>
    <w:rsid w:val="00765783"/>
    <w:rsid w:val="00766254"/>
    <w:rsid w:val="007666B4"/>
    <w:rsid w:val="00771086"/>
    <w:rsid w:val="00783362"/>
    <w:rsid w:val="00787030"/>
    <w:rsid w:val="00791CF5"/>
    <w:rsid w:val="00792514"/>
    <w:rsid w:val="00793BA9"/>
    <w:rsid w:val="007948E3"/>
    <w:rsid w:val="00796169"/>
    <w:rsid w:val="007A2AFF"/>
    <w:rsid w:val="007A4826"/>
    <w:rsid w:val="007A4E76"/>
    <w:rsid w:val="007A5781"/>
    <w:rsid w:val="007B31DF"/>
    <w:rsid w:val="007B4EAD"/>
    <w:rsid w:val="007B6062"/>
    <w:rsid w:val="007C3129"/>
    <w:rsid w:val="007C4C00"/>
    <w:rsid w:val="007D4A41"/>
    <w:rsid w:val="007D66D3"/>
    <w:rsid w:val="007D703E"/>
    <w:rsid w:val="007F4545"/>
    <w:rsid w:val="007F4C7F"/>
    <w:rsid w:val="00801D4E"/>
    <w:rsid w:val="00802FDD"/>
    <w:rsid w:val="0080579F"/>
    <w:rsid w:val="00812A62"/>
    <w:rsid w:val="00813975"/>
    <w:rsid w:val="00813AD2"/>
    <w:rsid w:val="00814967"/>
    <w:rsid w:val="00815F0F"/>
    <w:rsid w:val="00816284"/>
    <w:rsid w:val="00822B16"/>
    <w:rsid w:val="00825CC1"/>
    <w:rsid w:val="00830C73"/>
    <w:rsid w:val="00831A50"/>
    <w:rsid w:val="00832FD2"/>
    <w:rsid w:val="0083531D"/>
    <w:rsid w:val="00835918"/>
    <w:rsid w:val="008473F2"/>
    <w:rsid w:val="00847CB9"/>
    <w:rsid w:val="00850618"/>
    <w:rsid w:val="008602A7"/>
    <w:rsid w:val="008613EE"/>
    <w:rsid w:val="00864825"/>
    <w:rsid w:val="008679CC"/>
    <w:rsid w:val="00867E64"/>
    <w:rsid w:val="00874A0F"/>
    <w:rsid w:val="00882BE9"/>
    <w:rsid w:val="00883EB2"/>
    <w:rsid w:val="008868FB"/>
    <w:rsid w:val="00890C07"/>
    <w:rsid w:val="00891B61"/>
    <w:rsid w:val="00891D76"/>
    <w:rsid w:val="00893F79"/>
    <w:rsid w:val="00895CFF"/>
    <w:rsid w:val="00895F19"/>
    <w:rsid w:val="008A5CE4"/>
    <w:rsid w:val="008B15FA"/>
    <w:rsid w:val="008B170F"/>
    <w:rsid w:val="008B6562"/>
    <w:rsid w:val="008B73CD"/>
    <w:rsid w:val="008C615E"/>
    <w:rsid w:val="008D0E81"/>
    <w:rsid w:val="008D5820"/>
    <w:rsid w:val="008E0A2B"/>
    <w:rsid w:val="008E0A45"/>
    <w:rsid w:val="008F1740"/>
    <w:rsid w:val="008F4C30"/>
    <w:rsid w:val="008F50A8"/>
    <w:rsid w:val="008F5B39"/>
    <w:rsid w:val="0090047A"/>
    <w:rsid w:val="009011A1"/>
    <w:rsid w:val="00913A89"/>
    <w:rsid w:val="00913F24"/>
    <w:rsid w:val="00915DA0"/>
    <w:rsid w:val="00923829"/>
    <w:rsid w:val="009305F3"/>
    <w:rsid w:val="00931CB6"/>
    <w:rsid w:val="0093221D"/>
    <w:rsid w:val="00936EE3"/>
    <w:rsid w:val="009417C1"/>
    <w:rsid w:val="0094434C"/>
    <w:rsid w:val="0094498C"/>
    <w:rsid w:val="00950119"/>
    <w:rsid w:val="0095698E"/>
    <w:rsid w:val="00957417"/>
    <w:rsid w:val="0095763D"/>
    <w:rsid w:val="00960466"/>
    <w:rsid w:val="00964C0C"/>
    <w:rsid w:val="009666C0"/>
    <w:rsid w:val="00973932"/>
    <w:rsid w:val="009777BE"/>
    <w:rsid w:val="00977EF9"/>
    <w:rsid w:val="00980FC5"/>
    <w:rsid w:val="00984660"/>
    <w:rsid w:val="00985D97"/>
    <w:rsid w:val="00987148"/>
    <w:rsid w:val="00987723"/>
    <w:rsid w:val="0099286D"/>
    <w:rsid w:val="00993ABF"/>
    <w:rsid w:val="00995F24"/>
    <w:rsid w:val="00996D18"/>
    <w:rsid w:val="00996F11"/>
    <w:rsid w:val="009A08BE"/>
    <w:rsid w:val="009A11D4"/>
    <w:rsid w:val="009A4F73"/>
    <w:rsid w:val="009A5AC5"/>
    <w:rsid w:val="009A7077"/>
    <w:rsid w:val="009B335D"/>
    <w:rsid w:val="009B663B"/>
    <w:rsid w:val="009C1C71"/>
    <w:rsid w:val="009C2048"/>
    <w:rsid w:val="009C5589"/>
    <w:rsid w:val="009C6F24"/>
    <w:rsid w:val="009D150A"/>
    <w:rsid w:val="009D430F"/>
    <w:rsid w:val="009D4D73"/>
    <w:rsid w:val="009D689F"/>
    <w:rsid w:val="009D7874"/>
    <w:rsid w:val="009E2091"/>
    <w:rsid w:val="009E635B"/>
    <w:rsid w:val="00A11C83"/>
    <w:rsid w:val="00A1303E"/>
    <w:rsid w:val="00A13F88"/>
    <w:rsid w:val="00A17B3B"/>
    <w:rsid w:val="00A17F27"/>
    <w:rsid w:val="00A201D6"/>
    <w:rsid w:val="00A31007"/>
    <w:rsid w:val="00A3149B"/>
    <w:rsid w:val="00A319CD"/>
    <w:rsid w:val="00A36696"/>
    <w:rsid w:val="00A36ECF"/>
    <w:rsid w:val="00A432D6"/>
    <w:rsid w:val="00A44210"/>
    <w:rsid w:val="00A50492"/>
    <w:rsid w:val="00A513D9"/>
    <w:rsid w:val="00A528B5"/>
    <w:rsid w:val="00A52E70"/>
    <w:rsid w:val="00A603A9"/>
    <w:rsid w:val="00A60C8F"/>
    <w:rsid w:val="00A64697"/>
    <w:rsid w:val="00A64A00"/>
    <w:rsid w:val="00A77D41"/>
    <w:rsid w:val="00A81A22"/>
    <w:rsid w:val="00A83CF8"/>
    <w:rsid w:val="00A84AA7"/>
    <w:rsid w:val="00A85A82"/>
    <w:rsid w:val="00A915B2"/>
    <w:rsid w:val="00A96897"/>
    <w:rsid w:val="00AA127C"/>
    <w:rsid w:val="00AA3806"/>
    <w:rsid w:val="00AA4FA4"/>
    <w:rsid w:val="00AB00BF"/>
    <w:rsid w:val="00AB4A3A"/>
    <w:rsid w:val="00AB5DEF"/>
    <w:rsid w:val="00AC48E8"/>
    <w:rsid w:val="00AC5C64"/>
    <w:rsid w:val="00AC75E2"/>
    <w:rsid w:val="00AD59DA"/>
    <w:rsid w:val="00AE1515"/>
    <w:rsid w:val="00B017E9"/>
    <w:rsid w:val="00B02F01"/>
    <w:rsid w:val="00B15071"/>
    <w:rsid w:val="00B23A12"/>
    <w:rsid w:val="00B23D31"/>
    <w:rsid w:val="00B2510C"/>
    <w:rsid w:val="00B36A71"/>
    <w:rsid w:val="00B400CD"/>
    <w:rsid w:val="00B431A8"/>
    <w:rsid w:val="00B43702"/>
    <w:rsid w:val="00B50551"/>
    <w:rsid w:val="00B51111"/>
    <w:rsid w:val="00B52440"/>
    <w:rsid w:val="00B56E32"/>
    <w:rsid w:val="00B57512"/>
    <w:rsid w:val="00B57CC3"/>
    <w:rsid w:val="00B65E7A"/>
    <w:rsid w:val="00B66C8F"/>
    <w:rsid w:val="00B72F13"/>
    <w:rsid w:val="00B750D3"/>
    <w:rsid w:val="00B77E60"/>
    <w:rsid w:val="00B82F17"/>
    <w:rsid w:val="00B83289"/>
    <w:rsid w:val="00B836B7"/>
    <w:rsid w:val="00B8703F"/>
    <w:rsid w:val="00B87B50"/>
    <w:rsid w:val="00BA42DB"/>
    <w:rsid w:val="00BA557D"/>
    <w:rsid w:val="00BA71B4"/>
    <w:rsid w:val="00BC1084"/>
    <w:rsid w:val="00BC7ACB"/>
    <w:rsid w:val="00BD674D"/>
    <w:rsid w:val="00BD6D81"/>
    <w:rsid w:val="00BE07E8"/>
    <w:rsid w:val="00BE0A65"/>
    <w:rsid w:val="00BE4856"/>
    <w:rsid w:val="00BF1096"/>
    <w:rsid w:val="00BF213C"/>
    <w:rsid w:val="00BF3BCF"/>
    <w:rsid w:val="00BF40D1"/>
    <w:rsid w:val="00C00093"/>
    <w:rsid w:val="00C02E55"/>
    <w:rsid w:val="00C03F46"/>
    <w:rsid w:val="00C124EA"/>
    <w:rsid w:val="00C16036"/>
    <w:rsid w:val="00C16126"/>
    <w:rsid w:val="00C170E7"/>
    <w:rsid w:val="00C24445"/>
    <w:rsid w:val="00C24C91"/>
    <w:rsid w:val="00C24E80"/>
    <w:rsid w:val="00C26F22"/>
    <w:rsid w:val="00C27426"/>
    <w:rsid w:val="00C3048A"/>
    <w:rsid w:val="00C30F7E"/>
    <w:rsid w:val="00C34DB8"/>
    <w:rsid w:val="00C36FAF"/>
    <w:rsid w:val="00C37F8A"/>
    <w:rsid w:val="00C40D21"/>
    <w:rsid w:val="00C46CD0"/>
    <w:rsid w:val="00C476BC"/>
    <w:rsid w:val="00C50A25"/>
    <w:rsid w:val="00C6308B"/>
    <w:rsid w:val="00C66C29"/>
    <w:rsid w:val="00C71503"/>
    <w:rsid w:val="00C72149"/>
    <w:rsid w:val="00C723EB"/>
    <w:rsid w:val="00C724F1"/>
    <w:rsid w:val="00C72F66"/>
    <w:rsid w:val="00C74AF9"/>
    <w:rsid w:val="00C74D19"/>
    <w:rsid w:val="00C75EBD"/>
    <w:rsid w:val="00C80B67"/>
    <w:rsid w:val="00C81B66"/>
    <w:rsid w:val="00C9135E"/>
    <w:rsid w:val="00C91B3B"/>
    <w:rsid w:val="00C95327"/>
    <w:rsid w:val="00CA3322"/>
    <w:rsid w:val="00CA7F8C"/>
    <w:rsid w:val="00CB0329"/>
    <w:rsid w:val="00CB4044"/>
    <w:rsid w:val="00CB4807"/>
    <w:rsid w:val="00CB618C"/>
    <w:rsid w:val="00CB66C1"/>
    <w:rsid w:val="00CC077D"/>
    <w:rsid w:val="00CC1A52"/>
    <w:rsid w:val="00CC6C6A"/>
    <w:rsid w:val="00CC7E42"/>
    <w:rsid w:val="00CD49A1"/>
    <w:rsid w:val="00CD512B"/>
    <w:rsid w:val="00CD535B"/>
    <w:rsid w:val="00CE697B"/>
    <w:rsid w:val="00CE78DE"/>
    <w:rsid w:val="00CF12F9"/>
    <w:rsid w:val="00CF31FD"/>
    <w:rsid w:val="00CF4044"/>
    <w:rsid w:val="00CF6250"/>
    <w:rsid w:val="00D01470"/>
    <w:rsid w:val="00D10CAC"/>
    <w:rsid w:val="00D12426"/>
    <w:rsid w:val="00D1426E"/>
    <w:rsid w:val="00D167B2"/>
    <w:rsid w:val="00D16A3C"/>
    <w:rsid w:val="00D17AB9"/>
    <w:rsid w:val="00D21D78"/>
    <w:rsid w:val="00D22304"/>
    <w:rsid w:val="00D23BE3"/>
    <w:rsid w:val="00D301C4"/>
    <w:rsid w:val="00D3252B"/>
    <w:rsid w:val="00D3352F"/>
    <w:rsid w:val="00D4349A"/>
    <w:rsid w:val="00D4369B"/>
    <w:rsid w:val="00D44445"/>
    <w:rsid w:val="00D5565A"/>
    <w:rsid w:val="00D577CF"/>
    <w:rsid w:val="00D65517"/>
    <w:rsid w:val="00D67E7B"/>
    <w:rsid w:val="00D70B77"/>
    <w:rsid w:val="00D75087"/>
    <w:rsid w:val="00D757CE"/>
    <w:rsid w:val="00D8080D"/>
    <w:rsid w:val="00D84210"/>
    <w:rsid w:val="00D90E1A"/>
    <w:rsid w:val="00D91732"/>
    <w:rsid w:val="00D92B65"/>
    <w:rsid w:val="00D942B3"/>
    <w:rsid w:val="00D95AD6"/>
    <w:rsid w:val="00D96A5B"/>
    <w:rsid w:val="00DA3349"/>
    <w:rsid w:val="00DA3F37"/>
    <w:rsid w:val="00DB1378"/>
    <w:rsid w:val="00DB2B91"/>
    <w:rsid w:val="00DB2FC7"/>
    <w:rsid w:val="00DB67DF"/>
    <w:rsid w:val="00DC0359"/>
    <w:rsid w:val="00DC12B0"/>
    <w:rsid w:val="00DC50AA"/>
    <w:rsid w:val="00DD2E9A"/>
    <w:rsid w:val="00DD4E3B"/>
    <w:rsid w:val="00DD5E87"/>
    <w:rsid w:val="00DD641D"/>
    <w:rsid w:val="00DE07E3"/>
    <w:rsid w:val="00DE22F1"/>
    <w:rsid w:val="00DE3973"/>
    <w:rsid w:val="00DE4E5A"/>
    <w:rsid w:val="00DE70D1"/>
    <w:rsid w:val="00DF216C"/>
    <w:rsid w:val="00DF545A"/>
    <w:rsid w:val="00E014B4"/>
    <w:rsid w:val="00E04C6A"/>
    <w:rsid w:val="00E04FA5"/>
    <w:rsid w:val="00E17A5D"/>
    <w:rsid w:val="00E17C11"/>
    <w:rsid w:val="00E20793"/>
    <w:rsid w:val="00E20FC0"/>
    <w:rsid w:val="00E26610"/>
    <w:rsid w:val="00E302E3"/>
    <w:rsid w:val="00E31AFF"/>
    <w:rsid w:val="00E32231"/>
    <w:rsid w:val="00E340FB"/>
    <w:rsid w:val="00E34585"/>
    <w:rsid w:val="00E51A5F"/>
    <w:rsid w:val="00E533DB"/>
    <w:rsid w:val="00E53422"/>
    <w:rsid w:val="00E5427C"/>
    <w:rsid w:val="00E60048"/>
    <w:rsid w:val="00E63CFA"/>
    <w:rsid w:val="00E73EFD"/>
    <w:rsid w:val="00E7474F"/>
    <w:rsid w:val="00E7491F"/>
    <w:rsid w:val="00E820C8"/>
    <w:rsid w:val="00E84D84"/>
    <w:rsid w:val="00E85072"/>
    <w:rsid w:val="00E86191"/>
    <w:rsid w:val="00E91730"/>
    <w:rsid w:val="00E95DDE"/>
    <w:rsid w:val="00EA10DF"/>
    <w:rsid w:val="00EA24BF"/>
    <w:rsid w:val="00EA48FD"/>
    <w:rsid w:val="00EA5303"/>
    <w:rsid w:val="00EA64C1"/>
    <w:rsid w:val="00EA6FC8"/>
    <w:rsid w:val="00EA75DB"/>
    <w:rsid w:val="00EB10AE"/>
    <w:rsid w:val="00EB1B73"/>
    <w:rsid w:val="00EB347D"/>
    <w:rsid w:val="00EB37B2"/>
    <w:rsid w:val="00EB3BBE"/>
    <w:rsid w:val="00EB4B6C"/>
    <w:rsid w:val="00EC063E"/>
    <w:rsid w:val="00EC54E2"/>
    <w:rsid w:val="00EC6FC5"/>
    <w:rsid w:val="00EC7D93"/>
    <w:rsid w:val="00ED7CAA"/>
    <w:rsid w:val="00ED7E8B"/>
    <w:rsid w:val="00EE3162"/>
    <w:rsid w:val="00EE3C0D"/>
    <w:rsid w:val="00EE5A95"/>
    <w:rsid w:val="00EF1234"/>
    <w:rsid w:val="00EF2C72"/>
    <w:rsid w:val="00EF56D5"/>
    <w:rsid w:val="00EF5E58"/>
    <w:rsid w:val="00F02094"/>
    <w:rsid w:val="00F02C33"/>
    <w:rsid w:val="00F078D3"/>
    <w:rsid w:val="00F12CBE"/>
    <w:rsid w:val="00F14F59"/>
    <w:rsid w:val="00F17855"/>
    <w:rsid w:val="00F222A1"/>
    <w:rsid w:val="00F23C9F"/>
    <w:rsid w:val="00F274AE"/>
    <w:rsid w:val="00F276F5"/>
    <w:rsid w:val="00F32B7B"/>
    <w:rsid w:val="00F32D1A"/>
    <w:rsid w:val="00F32EC3"/>
    <w:rsid w:val="00F34A35"/>
    <w:rsid w:val="00F413BA"/>
    <w:rsid w:val="00F47900"/>
    <w:rsid w:val="00F47DB5"/>
    <w:rsid w:val="00F500DE"/>
    <w:rsid w:val="00F508AE"/>
    <w:rsid w:val="00F52CCC"/>
    <w:rsid w:val="00F55E73"/>
    <w:rsid w:val="00F61E56"/>
    <w:rsid w:val="00F62F23"/>
    <w:rsid w:val="00F676EA"/>
    <w:rsid w:val="00F7116A"/>
    <w:rsid w:val="00F72221"/>
    <w:rsid w:val="00F73AEA"/>
    <w:rsid w:val="00F740B9"/>
    <w:rsid w:val="00F74669"/>
    <w:rsid w:val="00F771D3"/>
    <w:rsid w:val="00F7720A"/>
    <w:rsid w:val="00F81E40"/>
    <w:rsid w:val="00F81EAD"/>
    <w:rsid w:val="00F828BC"/>
    <w:rsid w:val="00F83B4E"/>
    <w:rsid w:val="00F83FA8"/>
    <w:rsid w:val="00F9346C"/>
    <w:rsid w:val="00F956AB"/>
    <w:rsid w:val="00F97C63"/>
    <w:rsid w:val="00FB0EF8"/>
    <w:rsid w:val="00FB4F9D"/>
    <w:rsid w:val="00FC33E0"/>
    <w:rsid w:val="00FC5514"/>
    <w:rsid w:val="00FD1038"/>
    <w:rsid w:val="00FD1CD3"/>
    <w:rsid w:val="00FD237A"/>
    <w:rsid w:val="00FD3807"/>
    <w:rsid w:val="00FD42F2"/>
    <w:rsid w:val="00FD69AD"/>
    <w:rsid w:val="00FD6C1B"/>
    <w:rsid w:val="00FE05AD"/>
    <w:rsid w:val="00FE1AFD"/>
    <w:rsid w:val="00FE21C3"/>
    <w:rsid w:val="00FF0B11"/>
    <w:rsid w:val="00FF465E"/>
    <w:rsid w:val="00FF7504"/>
    <w:rsid w:val="00FF7AE3"/>
    <w:rsid w:val="07B053B4"/>
    <w:rsid w:val="3BE51564"/>
    <w:rsid w:val="5248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160" w:lineRule="atLeast"/>
      <w:jc w:val="center"/>
      <w:outlineLvl w:val="0"/>
    </w:pPr>
    <w:rPr>
      <w:rFonts w:ascii="隶书" w:eastAsia="隶书"/>
      <w:color w:val="FF0000"/>
      <w:sz w:val="30"/>
      <w:szCs w:val="20"/>
    </w:rPr>
  </w:style>
  <w:style w:type="paragraph" w:styleId="3">
    <w:name w:val="heading 2"/>
    <w:basedOn w:val="1"/>
    <w:next w:val="1"/>
    <w:qFormat/>
    <w:uiPriority w:val="0"/>
    <w:pPr>
      <w:keepNext/>
      <w:spacing w:line="160" w:lineRule="atLeast"/>
      <w:jc w:val="center"/>
      <w:outlineLvl w:val="1"/>
    </w:pPr>
    <w:rPr>
      <w:rFonts w:eastAsia="隶书"/>
      <w:b/>
      <w:smallCaps/>
      <w:sz w:val="44"/>
      <w:szCs w:val="20"/>
    </w:rPr>
  </w:style>
  <w:style w:type="paragraph" w:styleId="4">
    <w:name w:val="heading 3"/>
    <w:basedOn w:val="1"/>
    <w:next w:val="1"/>
    <w:qFormat/>
    <w:uiPriority w:val="0"/>
    <w:pPr>
      <w:keepNext/>
      <w:jc w:val="center"/>
      <w:outlineLvl w:val="2"/>
    </w:pPr>
    <w:rPr>
      <w:rFonts w:ascii="宋体" w:hAnsi="宋体"/>
      <w:b/>
      <w:smallCaps/>
      <w:color w:val="000000"/>
      <w:sz w:val="48"/>
      <w:szCs w:val="20"/>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kern w:val="0"/>
    </w:rPr>
  </w:style>
  <w:style w:type="paragraph" w:styleId="6">
    <w:name w:val="Document Map"/>
    <w:basedOn w:val="1"/>
    <w:link w:val="29"/>
    <w:semiHidden/>
    <w:unhideWhenUsed/>
    <w:qFormat/>
    <w:uiPriority w:val="0"/>
    <w:rPr>
      <w:rFonts w:ascii="宋体"/>
      <w:sz w:val="18"/>
      <w:szCs w:val="18"/>
    </w:rPr>
  </w:style>
  <w:style w:type="paragraph" w:styleId="7">
    <w:name w:val="annotation text"/>
    <w:basedOn w:val="1"/>
    <w:link w:val="27"/>
    <w:semiHidden/>
    <w:qFormat/>
    <w:uiPriority w:val="99"/>
    <w:pPr>
      <w:jc w:val="left"/>
    </w:pPr>
  </w:style>
  <w:style w:type="paragraph" w:styleId="8">
    <w:name w:val="Body Text"/>
    <w:basedOn w:val="1"/>
    <w:link w:val="28"/>
    <w:qFormat/>
    <w:uiPriority w:val="0"/>
    <w:pPr>
      <w:jc w:val="center"/>
    </w:pPr>
    <w:rPr>
      <w:szCs w:val="20"/>
    </w:rPr>
  </w:style>
  <w:style w:type="paragraph" w:styleId="9">
    <w:name w:val="Body Text Indent"/>
    <w:basedOn w:val="1"/>
    <w:qFormat/>
    <w:uiPriority w:val="0"/>
    <w:pPr>
      <w:spacing w:after="120"/>
      <w:ind w:left="420" w:leftChars="200"/>
    </w:pPr>
  </w:style>
  <w:style w:type="paragraph" w:styleId="10">
    <w:name w:val="Date"/>
    <w:basedOn w:val="1"/>
    <w:next w:val="1"/>
    <w:link w:val="25"/>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annotation subject"/>
    <w:basedOn w:val="7"/>
    <w:next w:val="7"/>
    <w:semiHidden/>
    <w:qFormat/>
    <w:uiPriority w:val="0"/>
    <w:rPr>
      <w:b/>
      <w:bCs/>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7">
    <w:name w:val="Table Theme"/>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FollowedHyperlink"/>
    <w:basedOn w:val="18"/>
    <w:qFormat/>
    <w:uiPriority w:val="0"/>
    <w:rPr>
      <w:color w:val="800080"/>
      <w:u w:val="single"/>
    </w:rPr>
  </w:style>
  <w:style w:type="character" w:styleId="21">
    <w:name w:val="Hyperlink"/>
    <w:basedOn w:val="18"/>
    <w:qFormat/>
    <w:uiPriority w:val="0"/>
    <w:rPr>
      <w:color w:val="0000FF"/>
      <w:u w:val="single"/>
    </w:rPr>
  </w:style>
  <w:style w:type="character" w:styleId="22">
    <w:name w:val="annotation reference"/>
    <w:basedOn w:val="18"/>
    <w:semiHidden/>
    <w:qFormat/>
    <w:uiPriority w:val="99"/>
    <w:rPr>
      <w:sz w:val="21"/>
      <w:szCs w:val="21"/>
    </w:rPr>
  </w:style>
  <w:style w:type="character" w:customStyle="1" w:styleId="23">
    <w:name w:val="pt121"/>
    <w:basedOn w:val="18"/>
    <w:qFormat/>
    <w:uiPriority w:val="0"/>
    <w:rPr>
      <w:sz w:val="24"/>
      <w:szCs w:val="24"/>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customStyle="1" w:styleId="25">
    <w:name w:val="日期 Char"/>
    <w:basedOn w:val="18"/>
    <w:link w:val="10"/>
    <w:qFormat/>
    <w:uiPriority w:val="0"/>
    <w:rPr>
      <w:kern w:val="2"/>
      <w:sz w:val="21"/>
      <w:szCs w:val="24"/>
    </w:rPr>
  </w:style>
  <w:style w:type="paragraph" w:styleId="26">
    <w:name w:val="List Paragraph"/>
    <w:basedOn w:val="1"/>
    <w:qFormat/>
    <w:uiPriority w:val="34"/>
    <w:pPr>
      <w:ind w:firstLine="420" w:firstLineChars="200"/>
    </w:pPr>
  </w:style>
  <w:style w:type="character" w:customStyle="1" w:styleId="27">
    <w:name w:val="批注文字 Char"/>
    <w:basedOn w:val="18"/>
    <w:link w:val="7"/>
    <w:semiHidden/>
    <w:qFormat/>
    <w:uiPriority w:val="99"/>
    <w:rPr>
      <w:kern w:val="2"/>
      <w:sz w:val="21"/>
      <w:szCs w:val="24"/>
    </w:rPr>
  </w:style>
  <w:style w:type="character" w:customStyle="1" w:styleId="28">
    <w:name w:val="正文文本 Char"/>
    <w:basedOn w:val="18"/>
    <w:link w:val="8"/>
    <w:qFormat/>
    <w:uiPriority w:val="0"/>
    <w:rPr>
      <w:kern w:val="2"/>
      <w:sz w:val="21"/>
    </w:rPr>
  </w:style>
  <w:style w:type="character" w:customStyle="1" w:styleId="29">
    <w:name w:val="文档结构图 Char"/>
    <w:basedOn w:val="18"/>
    <w:link w:val="6"/>
    <w:semiHidden/>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8D777-66F0-4DC8-990F-770946CA2EFE}">
  <ds:schemaRefs/>
</ds:datastoreItem>
</file>

<file path=docProps/app.xml><?xml version="1.0" encoding="utf-8"?>
<Properties xmlns="http://schemas.openxmlformats.org/officeDocument/2006/extended-properties" xmlns:vt="http://schemas.openxmlformats.org/officeDocument/2006/docPropsVTypes">
  <Template>Normal</Template>
  <Pages>5</Pages>
  <Words>343</Words>
  <Characters>1959</Characters>
  <Lines>16</Lines>
  <Paragraphs>4</Paragraphs>
  <TotalTime>345</TotalTime>
  <ScaleCrop>false</ScaleCrop>
  <LinksUpToDate>false</LinksUpToDate>
  <CharactersWithSpaces>2298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2014-11-21T06:16:00Z</dcterms:created>
  <dc:creator>luyang</dc:creator>
  <cp:lastModifiedBy>瑞希</cp:lastModifiedBy>
  <cp:lastPrinted>2008-03-27T03:36:00Z</cp:lastPrinted>
  <dcterms:modified xsi:type="dcterms:W3CDTF">2021-04-19T07:16:27Z</dcterms:modified>
  <dc:title>文件编号：CGC-QPG01-01                                      　                                                                      </dc:title>
  <cp:revision>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356F19D644B143FFB58D9C631E7125A6</vt:lpwstr>
  </property>
</Properties>
</file>